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Теплотехника, Химия, Физика, Электротехника, Технологические процессы технического обслуживания и ремонта ТиТТМО, Введение в профессиональную деятельность, Безопасность труда и пожарная безопасность на авторемонтных предприятиях.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безопасности при обслуживании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17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"Наземные транспортно-технологические средства"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дисциплине посвящена выполнению теплового расчета бортовой холодильной установки автомобиля, а также расчетам конденсатора и испарителя. Работа выполняется по индивидуальным заданиям.</w:t>
      </w:r>
    </w:p>
    <w:p>
      <w:pPr/>
      <w:r>
        <w:rPr/>
        <w:t xml:space="preserve">Пример задачи:</w:t>
      </w:r>
    </w:p>
    <w:p>
      <w:pPr/>
      <w:r>
        <w:rPr/>
        <w:t xml:space="preserve">Выполнить тепловой расчет бортовой холодильной установки автомобиля, а также расчеты конденсатора и испарителя для следующих исходных данных:</w:t>
      </w:r>
    </w:p>
    <w:p>
      <w:pPr/>
      <w:r>
        <w:rPr/>
        <w:t xml:space="preserve"> Тип установки: с расширительным клапаном</w:t>
      </w:r>
    </w:p>
    <w:p>
      <w:pPr/>
      <w:r>
        <w:rPr/>
        <w:t xml:space="preserve">Хладагент: R134a</w:t>
      </w:r>
    </w:p>
    <w:p>
      <w:pPr/>
      <w:r>
        <w:rPr/>
        <w:t xml:space="preserve">Объем кабины: 5,5 м</w:t>
      </w:r>
      <w:r>
        <w:rPr>
          <w:vertAlign w:val="superscript"/>
        </w:rPr>
        <w:t xml:space="preserve">3</w:t>
      </w:r>
      <w:r>
        <w:rPr/>
        <w:t xml:space="preserve">.</w:t>
      </w:r>
    </w:p>
    <w:p>
      <w:pPr/>
      <w:r>
        <w:rPr/>
        <w:t xml:space="preserve">Расчетная температура окружающего воздуха: +35°С</w:t>
      </w:r>
    </w:p>
    <w:p>
      <w:pPr/>
      <w:r>
        <w:rPr/>
        <w:t xml:space="preserve">Расчетная температура на выходе из системы: +10°С</w:t>
      </w:r>
    </w:p>
    <w:p>
      <w:pPr/>
      <w:r>
        <w:rPr/>
        <w:t xml:space="preserve"> </w:t>
      </w:r>
    </w:p>
    <w:p>
      <w:pPr/>
      <w:r>
        <w:rPr/>
        <w:t xml:space="preserve">Ключевые точки термодинамической диаграммы</w:t>
      </w:r>
    </w:p>
    <w:tbl>
      <w:tblGrid>
        <w:gridCol w:w="2190" w:type="dxa"/>
        <w:gridCol w:w="540" w:type="dxa"/>
        <w:gridCol w:w="465" w:type="dxa"/>
        <w:gridCol w:w="630" w:type="dxa"/>
        <w:gridCol w:w="465" w:type="dxa"/>
        <w:gridCol w:w="630" w:type="dxa"/>
        <w:gridCol w:w="660" w:type="dxa"/>
        <w:gridCol w:w="690" w:type="dxa"/>
        <w:gridCol w:w="615" w:type="dxa"/>
        <w:gridCol w:w="615" w:type="dxa"/>
        <w:gridCol w:w="840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190" w:type="dxa"/>
            <w:noWrap/>
          </w:tcPr>
          <w:p>
            <w:pPr/>
            <w:r>
              <w:rPr/>
              <w:t xml:space="preserve">Тип установки</w:t>
            </w:r>
          </w:p>
        </w:tc>
        <w:tc>
          <w:tcPr>
            <w:tcW w:w="2745" w:type="dxa"/>
            <w:gridSpan w:val="5"/>
            <w:noWrap/>
          </w:tcPr>
          <w:p>
            <w:pPr/>
            <w:r>
              <w:rPr/>
              <w:t xml:space="preserve">Температура, °С</w:t>
            </w:r>
          </w:p>
        </w:tc>
        <w:tc>
          <w:tcPr>
            <w:tcW w:w="1350" w:type="dxa"/>
            <w:gridSpan w:val="2"/>
            <w:noWrap/>
          </w:tcPr>
          <w:p>
            <w:pPr/>
            <w:r>
              <w:rPr/>
              <w:t xml:space="preserve">Давление, бар</w:t>
            </w:r>
          </w:p>
        </w:tc>
        <w:tc>
          <w:tcPr>
            <w:tcW w:w="2085" w:type="dxa"/>
            <w:gridSpan w:val="3"/>
            <w:noWrap/>
          </w:tcPr>
          <w:p>
            <w:pPr/>
            <w:r>
              <w:rPr/>
              <w:t xml:space="preserve">Удельная энтальпия, кДж/кг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Удельный объем, 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/кг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k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0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u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в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п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p</w:t>
            </w:r>
            <w:r>
              <w:rPr>
                <w:vertAlign w:val="subscript"/>
              </w:rPr>
              <w:t xml:space="preserve">k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</w:t>
            </w:r>
            <w:r>
              <w:rPr>
                <w:vertAlign w:val="subscript"/>
              </w:rPr>
              <w:t xml:space="preserve">0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i´</w:t>
            </w:r>
            <w:r>
              <w:rPr>
                <w:vertAlign w:val="subscript"/>
              </w:rPr>
              <w:t xml:space="preserve">1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i</w:t>
            </w:r>
            <w:r>
              <w:rPr>
                <w:vertAlign w:val="subscript"/>
              </w:rPr>
              <w:t xml:space="preserve">2s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i´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 = i´</w:t>
            </w:r>
            <w:r>
              <w:rPr>
                <w:vertAlign w:val="subscript"/>
              </w:rPr>
              <w:t xml:space="preserve">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v´</w:t>
            </w:r>
            <w:r>
              <w:rPr>
                <w:vertAlign w:val="subscript"/>
              </w:rPr>
              <w:t xml:space="preserve">1</w:t>
            </w:r>
          </w:p>
        </w:tc>
      </w:tr>
      <w:tr>
        <w:trPr/>
        <w:tc>
          <w:tcPr>
            <w:tcW w:w="2190" w:type="dxa"/>
            <w:noWrap/>
          </w:tcPr>
          <w:p>
            <w:pPr/>
            <w:r>
              <w:rPr/>
              <w:t xml:space="preserve">С расширительным клапаном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+51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-7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+45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-2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+75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2,2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437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0,09</w:t>
            </w:r>
          </w:p>
        </w:tc>
      </w:tr>
      <w:tr>
        <w:trPr/>
        <w:tc>
          <w:tcPr>
            <w:tcW w:w="2190" w:type="dxa"/>
            <w:noWrap/>
          </w:tcPr>
          <w:p>
            <w:pPr/>
            <w:r>
              <w:rPr/>
              <w:t xml:space="preserve">С дросселем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+65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-4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+55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+85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2,7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0,08</w:t>
            </w:r>
          </w:p>
        </w:tc>
      </w:tr>
    </w:tbl>
    <w:p>
      <w:pPr/>
      <w:r>
        <w:rPr/>
        <w:t xml:space="preserve">«Зачет» выставляется при отсутствии в контрольной работе серьезных ошибок, сигнализирующих о наличии значительных пробелов в знаниях обучающегося. «Незачет» выставляется при наличии в контрольной работе серьезных ошибок, сигнализирующих о наличии значительных пробелов в знаниях обучающегося. В случае, когда обучающийся получает «незачет», работа возвращается ему для доработки и исправления.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на последней неделе семестра. Каждый студент получает 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/>
      <w:r>
        <w:rPr/>
        <w:t xml:space="preserve">Примеры вопросов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1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1"/>
        </w:numPr>
      </w:pPr>
      <w:r>
        <w:rPr/>
        <w:t xml:space="preserve">Принцип работы автомобильного кондиционера.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 и зачет.</w:t>
      </w:r>
    </w:p>
    <w:p>
      <w:pPr/>
      <w:r>
        <w:rPr/>
        <w:t xml:space="preserve">Лекции проходят с начала семестра раз в две недели. Практические занятия проходят еженедельно. При этом предусматривается 32 часа аудиторной и 76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(решение задач контрольной работы).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проходят с начала восьмого семестра раз в две недели, практические занятия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и контрольной работы.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(решение задач).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Соколов А.П. Климатические системы транспортных и технологических машин : учебное пособие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3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3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A7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F8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63D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2B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2026-04-21T09:20:14+03:00</dcterms:created>
  <dcterms:modified xsi:type="dcterms:W3CDTF">2026-04-21T09:20:14+03:00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