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Преддипломная практика (И), Выполнение, подготовка к процедуре защиты и защита выпускной квалификационной работы (И), Производственный менеджмент и маркетинг (О), Управление техническими системами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задач, включающих планирование и постановку сложного эксперимента, критическую оценку и интерпретацию результатов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Моделирование производственных процессов (О), Метрология, стандартизация и сертификация (О), Учебная практика (НО), Экология (О),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Нормирование точности (О), Производственный менеджмент и маркетинг (О), Основы работоспособности технических систем (О), Статистическая обработка экспериментальных данных (О), Управление техническими системами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ОПК-4.2. Умеет выбирать оптимальные методы при решении задач профессиональной деятельности; </w:t>
            </w:r>
          </w:p>
          <w:p/>
          <w:p>
            <w:pPr/>
            <w:r>
              <w:rPr/>
              <w:t xml:space="preserve">ОПК-4.3. Способен четко определять цели и задачи коллективного взаимодействия, а также совместно планировать достижение общей цели;</w:t>
            </w:r>
          </w:p>
          <w:p/>
          <w:p>
            <w:pPr/>
            <w:r>
              <w:rPr/>
              <w:t xml:space="preserve">ОПК-4.4. Способен проектировать процесс решения коллективным способом инженерных и научно-технических задач;</w:t>
            </w:r>
          </w:p>
          <w:p/>
          <w:p>
            <w:pPr/>
            <w:r>
              <w:rPr/>
              <w:t xml:space="preserve">ОПК-4.5.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ОПК-4.6. Систематизирует, обобщает, представляет, содержательно интерпретирует, адекватно анализирует и критически оценивает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техническими системами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понятия и определения.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реакции системы автоматического управления на типовые воздействия.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Прямые методы оценки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Статический режим САУ. Статические характеристики. Статическое и астатическое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Динамический режим САУ. Уравнение динамики. Линеаризация уравнения динамики. Передаточная функция. Элементарные динамические звенья.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Разделение САУ на функциональные элементы. Составление функциональных схем.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Структурные схемы САУ. Эквивалентные преобразования структурных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регулятора для линейной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&amp;quot;Исследование разомкнутой линейной системы&amp;quot;.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&amp;quot;Преобразование Лапласа. Операционное исчисление. Решение дифференциальных уравнений с помощью преобразований Лапласа&amp;quot;.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&amp;quot;Проектирование регулятора для линейной системы&amp;quot;.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&amp;quot;Построение логарифмических частотных характеристик разомкнутых одноконтурных САУ&amp;quot;.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&amp;quot;Моделирование поведения систем управления при типовых воздействиях&amp;quot;.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&amp;quot;Типовые нелинейности&amp;quot;.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&amp;quot;Моделирование нелинейных систем управления&amp;quot;.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&amp;quot;Оптимизация систем управления&amp;quot;.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  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В каждом модуле предусмотрена лабораторная работа по основной теме раздела.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Исследование разомкнутой линейной системы.</w:t>
      </w:r>
    </w:p>
    <w:p>
      <w:pPr>
        <w:numPr>
          <w:ilvl w:val="0"/>
          <w:numId w:val="1"/>
        </w:numPr>
      </w:pPr>
      <w:r>
        <w:rPr/>
        <w:t xml:space="preserve">Проектирование регулятора для линейной системы. </w:t>
      </w:r>
    </w:p>
    <w:p>
      <w:pPr>
        <w:numPr>
          <w:ilvl w:val="0"/>
          <w:numId w:val="1"/>
        </w:numPr>
      </w:pPr>
      <w:r>
        <w:rPr/>
        <w:t xml:space="preserve">Моделирование поведения систем управления при типовых воздействиях.</w:t>
      </w:r>
    </w:p>
    <w:p>
      <w:pPr>
        <w:numPr>
          <w:ilvl w:val="0"/>
          <w:numId w:val="1"/>
        </w:numPr>
      </w:pPr>
      <w:r>
        <w:rPr/>
        <w:t xml:space="preserve">Моделирование нелинейных систем управления.</w:t>
      </w:r>
    </w:p>
    <w:p>
      <w:pPr>
        <w:numPr>
          <w:ilvl w:val="0"/>
          <w:numId w:val="1"/>
        </w:numPr>
      </w:pPr>
      <w:r>
        <w:rPr/>
        <w:t xml:space="preserve">Оптимизация систем управления.</w:t>
      </w:r>
    </w:p>
    <w:p>
      <w:pPr>
        <w:numPr>
          <w:ilvl w:val="0"/>
          <w:numId w:val="1"/>
        </w:numPr>
      </w:pPr>
      <w:r>
        <w:rPr/>
        <w:t xml:space="preserve">Цифровая реализация непрерывного регулятора.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>
      <w:pPr/>
      <w:r>
        <w:rPr/>
        <w:t xml:space="preserve"> </w:t>
      </w:r>
    </w:p>
    <w:p>
      <w:pPr/>
      <w:r>
        <w:rPr/>
        <w:t xml:space="preserve">Оформление отчета</w:t>
      </w:r>
    </w:p>
    <w:p>
      <w:pPr/>
      <w:r>
        <w:rPr/>
        <w:t xml:space="preserve">Отчет по лабораторной работе выполняется в виде связного (читаемого) текста в файле формата Microsoft Word (шрифт основного текста Times New Roman, 12 пунктов, через 1,5 интервала, выравнивание по ширине). Он должен включать</w:t>
      </w:r>
    </w:p>
    <w:p>
      <w:pPr>
        <w:numPr>
          <w:ilvl w:val="0"/>
          <w:numId w:val="2"/>
        </w:numPr>
      </w:pPr>
      <w:r>
        <w:rPr/>
        <w:t xml:space="preserve">название предмета, номер и название лабораторной работы</w:t>
      </w:r>
    </w:p>
    <w:p>
      <w:pPr>
        <w:numPr>
          <w:ilvl w:val="0"/>
          <w:numId w:val="2"/>
        </w:numPr>
      </w:pPr>
      <w:r>
        <w:rPr/>
        <w:t xml:space="preserve">фамилию и инициалы авторов, номер группы</w:t>
      </w:r>
    </w:p>
    <w:p>
      <w:pPr>
        <w:numPr>
          <w:ilvl w:val="0"/>
          <w:numId w:val="2"/>
        </w:numPr>
      </w:pPr>
      <w:r>
        <w:rPr/>
        <w:t xml:space="preserve">фамилию и инициалы преподавателя</w:t>
      </w:r>
    </w:p>
    <w:p>
      <w:pPr>
        <w:numPr>
          <w:ilvl w:val="0"/>
          <w:numId w:val="2"/>
        </w:numPr>
      </w:pPr>
      <w:r>
        <w:rPr/>
        <w:t xml:space="preserve">номер варианта</w:t>
      </w:r>
    </w:p>
    <w:p>
      <w:pPr>
        <w:numPr>
          <w:ilvl w:val="0"/>
          <w:numId w:val="2"/>
        </w:numPr>
      </w:pPr>
      <w:r>
        <w:rPr/>
        <w:t xml:space="preserve">краткое описание исследуемой системы</w:t>
      </w:r>
    </w:p>
    <w:p>
      <w:pPr>
        <w:numPr>
          <w:ilvl w:val="0"/>
          <w:numId w:val="2"/>
        </w:numPr>
      </w:pPr>
      <w:r>
        <w:rPr/>
        <w:t xml:space="preserve">результаты выполнения всех пунктов инструкции, которые выделены серым фоном: результаты вычислений, графики, ответы на вопросы.</w:t>
      </w:r>
    </w:p>
    <w:p>
      <w:pPr/>
      <w:r>
        <w:rPr/>
        <w:t xml:space="preserve"> </w:t>
      </w:r>
    </w:p>
    <w:p>
      <w:pPr/>
      <w:r>
        <w:rPr/>
        <w:t xml:space="preserve">Некоторые вопросы к защите:</w:t>
      </w:r>
    </w:p>
    <w:p>
      <w:pPr>
        <w:numPr>
          <w:ilvl w:val="0"/>
          <w:numId w:val="3"/>
        </w:numPr>
      </w:pPr>
      <w:r>
        <w:rPr/>
        <w:t xml:space="preserve">Представьте систему в виде последовательного соединения типовых звеньев.</w:t>
      </w:r>
    </w:p>
    <w:p>
      <w:pPr>
        <w:numPr>
          <w:ilvl w:val="0"/>
          <w:numId w:val="3"/>
        </w:numPr>
      </w:pPr>
      <w:r>
        <w:rPr/>
        <w:t xml:space="preserve">Дайте определение и поясните физический смысл переходной функции.</w:t>
      </w:r>
    </w:p>
    <w:p>
      <w:pPr>
        <w:numPr>
          <w:ilvl w:val="0"/>
          <w:numId w:val="3"/>
        </w:numPr>
      </w:pPr>
      <w:r>
        <w:rPr/>
        <w:t xml:space="preserve">Представьте исходную систему в пространстве состояний.</w:t>
      </w:r>
    </w:p>
    <w:p>
      <w:pPr>
        <w:numPr>
          <w:ilvl w:val="0"/>
          <w:numId w:val="3"/>
        </w:numPr>
      </w:pPr>
      <w:r>
        <w:rPr/>
        <w:t xml:space="preserve">Найдите передаточную функцию замкнутой системы.</w:t>
      </w:r>
    </w:p>
    <w:p>
      <w:pPr>
        <w:numPr>
          <w:ilvl w:val="0"/>
          <w:numId w:val="3"/>
        </w:numPr>
      </w:pPr>
      <w:r>
        <w:rPr/>
        <w:t xml:space="preserve">Постройте динамические характеристики типовых звеньев.</w:t>
      </w:r>
    </w:p>
    <w:p>
      <w:pPr>
        <w:numPr>
          <w:ilvl w:val="0"/>
          <w:numId w:val="3"/>
        </w:numPr>
      </w:pPr>
      <w:r>
        <w:rPr/>
        <w:t xml:space="preserve">Определите вид ЛЧХ для пропорционально – интегрально-дифференциального регулятора.</w:t>
      </w:r>
    </w:p>
    <w:p>
      <w:pPr>
        <w:numPr>
          <w:ilvl w:val="0"/>
          <w:numId w:val="3"/>
        </w:numPr>
      </w:pPr>
      <w:r>
        <w:rPr/>
        <w:t xml:space="preserve">Дайте определение и примеры состояний управляемой системы.</w:t>
      </w:r>
    </w:p>
    <w:p>
      <w:pPr>
        <w:numPr>
          <w:ilvl w:val="0"/>
          <w:numId w:val="3"/>
        </w:numPr>
      </w:pPr>
      <w:r>
        <w:rPr/>
        <w:t xml:space="preserve">Покажите на примере справедливость принципа суперпозиции.</w:t>
      </w:r>
    </w:p>
    <w:p>
      <w:pPr>
        <w:numPr>
          <w:ilvl w:val="0"/>
          <w:numId w:val="3"/>
        </w:numPr>
      </w:pPr>
      <w:r>
        <w:rPr/>
        <w:t xml:space="preserve">Выведите уравнения в пространстве состояний для заданной схемы соединения трех систем.</w:t>
      </w:r>
    </w:p>
    <w:p>
      <w:pPr>
        <w:numPr>
          <w:ilvl w:val="0"/>
          <w:numId w:val="3"/>
        </w:numPr>
      </w:pPr>
      <w:r>
        <w:rPr/>
        <w:t xml:space="preserve">Получите описание заданной одномерной системы в канонической форме Коши.</w:t>
      </w:r>
    </w:p>
    <w:p>
      <w:pPr>
        <w:numPr>
          <w:ilvl w:val="0"/>
          <w:numId w:val="3"/>
        </w:numPr>
      </w:pPr>
      <w:r>
        <w:rPr/>
        <w:t xml:space="preserve">Проведите анализ влияния размерности векторов управления и выходов на управляемость и наблюдаемость системы.</w:t>
      </w:r>
    </w:p>
    <w:p>
      <w:pPr>
        <w:numPr>
          <w:ilvl w:val="0"/>
          <w:numId w:val="3"/>
        </w:numPr>
      </w:pPr>
      <w:r>
        <w:rPr/>
        <w:t xml:space="preserve">Дайте определение устойчивости Ляпунова и асимптотической устойчивости.</w:t>
      </w:r>
    </w:p>
    <w:p>
      <w:pPr>
        <w:numPr>
          <w:ilvl w:val="0"/>
          <w:numId w:val="3"/>
        </w:numPr>
      </w:pPr>
      <w:r>
        <w:rPr/>
        <w:t xml:space="preserve">Постройте матрицу Гурвица и примените критерий Рауса-Гурвица для определения устойчивости типовых звеньев САУ.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Предусмотрено выполнение двух контрольных работ  после изучения второго  и четвертого тематических модуля. Обучающиеся выполняют работу  на практическом занятии в течение одного академического часа согласно выданному варианту.</w:t>
      </w:r>
    </w:p>
    <w:p>
      <w:pPr/>
      <w:r>
        <w:rPr/>
        <w:t xml:space="preserve"> </w:t>
      </w:r>
    </w:p>
    <w:p>
      <w:pPr/>
      <w:r>
        <w:rPr/>
        <w:t xml:space="preserve">Пример  индивидуального задания контрольной работы №1 см. в ФОС</w:t>
      </w:r>
    </w:p>
    <w:p>
      <w:pPr/>
      <w:r>
        <w:rPr/>
        <w:t xml:space="preserve"> </w:t>
      </w:r>
    </w:p>
    <w:p>
      <w:pPr/>
      <w:r>
        <w:rPr/>
        <w:t xml:space="preserve">Пример индивидуального задания контрольной работы №2 см. в ФОС</w:t>
      </w:r>
    </w:p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отличн</w:t>
      </w:r>
      <w:r>
        <w:rPr/>
        <w:t xml:space="preserve">о" выставляется, если все задания выполнены верно, получен правильный ответ.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хорошо</w:t>
      </w:r>
      <w:r>
        <w:rPr/>
        <w:t xml:space="preserve">" выставляется, если есть незначительные ошибки, например, в арифметических вычислениях, но, в целом, в ходе решения не нарушена логика рассуждений, и ответ неверен только с точки зрения неправильных вычислений, а не отсутствия знаний по теории управления.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удовлетворительно</w:t>
      </w:r>
      <w:r>
        <w:rPr/>
        <w:t xml:space="preserve">" выставляется, если выполнена только часть задания, и окончательное решение не найдено. При этом видно, что для выполнения задания обучающийся применял знания, полученные в ходе изучения предмета, но не до конца их осмыслил, что помешало ему получить верный результат.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неудовлетворительно</w:t>
      </w:r>
      <w:r>
        <w:rPr/>
        <w:t xml:space="preserve">" выставляется при отсутствии верного ответа, при этом решение задачи либо отсутствует, либо в ходе решения допущены грубые ошибки, свидетельствующие об отсутствии знаний по предмету.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4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4"/>
        </w:numPr>
      </w:pPr>
      <w:r>
        <w:rPr/>
        <w:t xml:space="preserve">Принципы управления.</w:t>
      </w:r>
    </w:p>
    <w:p>
      <w:pPr>
        <w:numPr>
          <w:ilvl w:val="0"/>
          <w:numId w:val="4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4"/>
        </w:numPr>
      </w:pPr>
      <w:r>
        <w:rPr/>
        <w:t xml:space="preserve">Классификация САУ.</w:t>
      </w:r>
    </w:p>
    <w:p>
      <w:pPr>
        <w:numPr>
          <w:ilvl w:val="0"/>
          <w:numId w:val="4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4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4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4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4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4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4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4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4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4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4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4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4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4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4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4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4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(54 часа) и самостоятельную работу обучающегося (54 часа). Перечень и краткое содержание этой работы студенты получают в начале семестра. Самостоятельная работа состоит в выполнении контрольных заданий по второму и четвертому тематическим модулям, самостоятельное изучение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шестого семестра еженедельно. В ходе изучения материала проводится текущая проверка знаний при помощи контрольных работ (представлены в ФОС). Лабораторные занятия проходят с начала шестого семестра и проводятся раз в две недели в компьютерном классе (ауд. 204, пр. Ленина, 29). Каждая работа оформляется в виде отчета и должна быть защищена после выполнения на собеседовании (стандартная форма отчета и вопросы к защите представлены в ФОС). Выполнение и защита всех лабораторных работ 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шестого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В ходе изучения материала проводится проверка знаний при помощи контрольных работ (представлены в ФОС). Лабораторные занятия проходят с начала шестого семестра и проводятся раз в две недели в компьютерном классе (ауд. 204, пр. Ленина, 29). После выполнения каждой лабораторной работы оформляется отчет, преподаватель проводит собеседование с целью проверки полученных знаний (стандартная форма отчета и вопросы к защите приводятся в ФОС). Выполнение и защита всех лабораторных работ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 и при защите лабораторных работ.</w:t>
      </w:r>
    </w:p>
    <w:p>
      <w:pPr/>
      <w:r>
        <w:rPr/>
        <w:t xml:space="preserve">Экзамен проводится в летнюю сессию в соответствии с положением о зачетах и экзаменах ПетрГУ. К экзамену допускаются студенты, выполнившие и защитившие все лабораторные работы и предоставившие отчет по лабораторным работам в стандартной форме, а также имеющие положительные оценки («удовлетворительно» и выше) за контрольные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6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9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1"/>
        </w:numPr>
      </w:pPr>
      <w:r>
        <w:rPr/>
        <w:t xml:space="preserve">компьютерный класс для проведения лабораторных работ ауд. 204, пр. Ленина, 29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4D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948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45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C54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0A7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61D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10C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71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A5A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6D3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B6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2026-04-21T12:49:15+03:00</dcterms:created>
  <dcterms:modified xsi:type="dcterms:W3CDTF">2026-04-21T12:49:15+03:00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