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АРХИТЕКТУРА ГРАЖДАНСКИХ И ПРОМЫШЛЕННЫХ ЗДАНИЙ И СООРУЖЕНИЙ (АРХИТЕКТУРА)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Архитектура гражданских и промышленных зданий и сооружений (архитектура)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Конструкции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Крыши и фонари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Окна, двери, ворота в промышленных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конструкции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сведения. Общие положения проектирования промышленных зданий. Физико-технические основы проектирования промышленных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Объемно-планировочные и конструктивные решения промышленных зданий. Вспомогательные здания и помещения промышленных предприятий. Архитектурно-композиционные решения промышленных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Каркасы промышленных зданий. Железобетонные каркасы одноэтажных зданий. Стальные каркасы одноэтажных зданий. Каркасы многоэтажных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промышленных зданий. Монолитные железобетонные фундаменты со ступенчатой плитной частью. Опалубка монолитных железобетонных фундаментов.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Железобетонные подколонники под стальные колонны в фундаментах глубокого заложения. Фундаменты из сборных железобетонных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унификации промышленных зданий. Правила привязки конструктивных элементов к координационным осям в одноэтажных и много этажных зданиях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микроклимата в производственных зданиях и способы их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и бытовые здания и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решения каркасов одноэтажных промышленных зданий из железобетона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фундаментов и фундаментных балок.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свето-аэрационного фонаря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 промышленного 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Полы, ворота, лестницы и другие элементы промышленных зданий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бытовых помещений и оборудования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архитектурно-конструктивного решения гардеробно-душевого блока.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«План гардеробно-душевого блока»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колонн основного каркаса. Подбор вспомогательных колонн. Привязка. Простановка связей.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«Продольный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подкрановых балок, рельсов. Проектирование мостового крана.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стеновых панелей. Разбивка стен на панели. Освещение.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«Поперечный разрез»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конструкций покрытия.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«Парапетный узел»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«Фасад»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>
          <w:lang w:val="ru-RU"/>
        </w:rPr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образовательная деятельность на основе ИКТ.</w:t>
      </w:r>
    </w:p>
    <w:p>
      <w:pPr>
        <w:jc w:val="start"/>
      </w:pPr>
      <w:r>
        <w:rPr>
          <w:lang w:val="ru-RU"/>
        </w:rPr>
        <w:t xml:space="preserve">В рамках освоения дисциплины могут быть предусмотрены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start"/>
      </w:pPr>
      <w:r>
        <w:rPr>
          <w:lang w:val="ru-RU"/>
        </w:rPr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>
        <w:jc w:val="start"/>
      </w:pPr>
      <w:r>
        <w:rPr>
          <w:lang w:val="ru-RU"/>
          <w:i w:val="1"/>
          <w:iCs w:val="1"/>
        </w:rPr>
        <w:t xml:space="preserve">Пример задачи из комплекта задач (рабочей тетради):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Тема 8. Фонари, перегородки, полы, ворота, лестницы и другие элементы промышленных зданий.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Цель занятия:</w:t>
      </w:r>
    </w:p>
    <w:p>
      <w:pPr>
        <w:jc w:val="start"/>
      </w:pPr>
      <w:r>
        <w:rPr>
          <w:lang w:val="ru-RU"/>
        </w:rPr>
        <w:t xml:space="preserve">Знать функциональное назначение и необходимость устройства фонарей, перегородок и других элементов промышленного здания. Проявить умение конструирования фонарей, перегородок, полов и лестниц с учетом эксплуатационных условий. Определять необходимость устройства деформационных швов.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Содержание занятия:</w:t>
      </w:r>
    </w:p>
    <w:p>
      <w:pPr>
        <w:jc w:val="start"/>
      </w:pPr>
      <w:r>
        <w:rPr>
          <w:lang w:val="ru-RU"/>
        </w:rPr>
        <w:t xml:space="preserve">1. Произвести обоснование необходимости устройства фонарей и их типов в зданиях различного назначения.</w:t>
      </w:r>
    </w:p>
    <w:p>
      <w:pPr>
        <w:jc w:val="start"/>
      </w:pPr>
      <w:r>
        <w:rPr>
          <w:lang w:val="ru-RU"/>
        </w:rPr>
        <w:t xml:space="preserve">2. Разработать вариант устройства фонаря светоаэрационного типа.</w:t>
      </w:r>
    </w:p>
    <w:p>
      <w:pPr>
        <w:jc w:val="start"/>
      </w:pPr>
      <w:r>
        <w:rPr>
          <w:lang w:val="ru-RU"/>
        </w:rPr>
        <w:t xml:space="preserve">3. Определить необходимость устройства перегородок различного типа на примере задания на курсовой проект и дать их конструктивное исполнение.</w:t>
      </w:r>
    </w:p>
    <w:p>
      <w:pPr>
        <w:jc w:val="start"/>
      </w:pPr>
      <w:r>
        <w:rPr>
          <w:lang w:val="ru-RU"/>
        </w:rPr>
        <w:t xml:space="preserve">4. Разработать спецификацию полов для заданного производства.</w:t>
      </w:r>
    </w:p>
    <w:p>
      <w:pPr>
        <w:jc w:val="start"/>
      </w:pPr>
      <w:r>
        <w:rPr>
          <w:lang w:val="ru-RU"/>
        </w:rPr>
        <w:t xml:space="preserve">5. Составить схему движения внутрицехового наземного транспорта с указанием типа ворот.</w:t>
      </w:r>
    </w:p>
    <w:p>
      <w:pPr>
        <w:jc w:val="start"/>
      </w:pPr>
      <w:r>
        <w:rPr>
          <w:lang w:val="ru-RU"/>
        </w:rPr>
        <w:t xml:space="preserve">6. Дать предложения по устройству деформационных швов на примере задания на курсовой проект.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оценивания решения комплектов задач:</w:t>
      </w:r>
    </w:p>
    <w:p>
      <w:pPr>
        <w:jc w:val="start"/>
      </w:pPr>
      <w:r>
        <w:rPr>
          <w:lang w:val="ru-RU"/>
        </w:rPr>
        <w:t xml:space="preserve">«Зачтено» выставляется обучающемуся, если он показал достаточно прочные знания при решении задач, умеет правильно оценить полученные результаты.</w:t>
      </w:r>
    </w:p>
    <w:p>
      <w:pPr>
        <w:jc w:val="start"/>
      </w:pPr>
      <w:r>
        <w:rPr>
          <w:lang w:val="ru-RU"/>
        </w:rPr>
        <w:t xml:space="preserve">«Не зачтено» выставляется обучающемуся, если при решении задач выявились существенные пробелы в знаниях, неумение с помощью преподавателя получить правильное решение конкретной практической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>
        <w:jc w:val="start"/>
      </w:pPr>
      <w:r>
        <w:rPr>
          <w:lang w:val="ru-RU"/>
          <w:u w:val="single"/>
        </w:rPr>
        <w:t xml:space="preserve">Задание на проектирование: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Исходные данные по санитарной характеристике производственного процесса:</w:t>
      </w:r>
    </w:p>
    <w:p>
      <w:pPr>
        <w:jc w:val="start"/>
      </w:pPr>
      <w:r>
        <w:rPr/>
        <w:t xml:space="preserve">I </w:t>
      </w:r>
      <w:r>
        <w:rPr>
          <w:lang w:val="ru-RU"/>
        </w:rPr>
        <w:t xml:space="preserve"> вариант – 1б</w:t>
      </w:r>
    </w:p>
    <w:p>
      <w:pPr>
        <w:jc w:val="start"/>
      </w:pPr>
      <w:r>
        <w:rPr/>
        <w:t xml:space="preserve">II</w:t>
      </w:r>
      <w:r>
        <w:rPr>
          <w:lang w:val="ru-RU"/>
        </w:rPr>
        <w:t xml:space="preserve"> вариант – 1в</w:t>
      </w:r>
    </w:p>
    <w:p>
      <w:pPr>
        <w:jc w:val="start"/>
      </w:pPr>
      <w:r>
        <w:rPr/>
        <w:t xml:space="preserve">III</w:t>
      </w:r>
      <w:r>
        <w:rPr>
          <w:lang w:val="ru-RU"/>
        </w:rPr>
        <w:t xml:space="preserve"> вариант – 3</w:t>
      </w:r>
      <w:r>
        <w:rPr/>
        <w:t xml:space="preserve">a</w:t>
      </w:r>
    </w:p>
    <w:tbl>
      <w:tblGrid>
        <w:gridCol w:w="750" w:type="dxa"/>
        <w:gridCol w:w="750" w:type="dxa"/>
        <w:gridCol w:w="900" w:type="dxa"/>
        <w:gridCol w:w="1500" w:type="dxa"/>
        <w:gridCol w:w="1100" w:type="dxa"/>
      </w:tblGrid>
      <w:tblPr>
        <w:tblW w:w="5000" w:type="pct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Вариант</w:t>
            </w:r>
          </w:p>
        </w:tc>
        <w:tc>
          <w:tcPr>
            <w:tcW w:w="1250" w:type="pct"/>
            <w:gridSpan w:val="2"/>
            <w:noWrap/>
          </w:tcPr>
          <w:p>
            <w:pPr>
              <w:jc w:val="start"/>
            </w:pPr>
            <w:r>
              <w:rPr/>
              <w:t xml:space="preserve">Строительные параметры производственного корпуса</w:t>
            </w:r>
          </w:p>
        </w:tc>
        <w:tc>
          <w:tcPr>
            <w:tcW w:w="3000" w:type="pct"/>
            <w:gridSpan w:val="3"/>
            <w:noWrap/>
          </w:tcPr>
          <w:p>
            <w:pPr/>
          </w:p>
        </w:tc>
      </w:tr>
      <w:tr>
        <w:trPr/>
        <w:tc>
          <w:tcPr>
            <w:tcW w:w="750" w:type="pct"/>
            <w:noWrap/>
          </w:tcPr>
          <w:p>
            <w:pPr>
              <w:jc w:val="start"/>
            </w:pPr>
            <w:r>
              <w:rPr/>
              <w:t xml:space="preserve">Длина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А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900" w:type="pct"/>
            <w:gridSpan w:val="2"/>
            <w:noWrap/>
          </w:tcPr>
          <w:p>
            <w:pPr>
              <w:jc w:val="start"/>
            </w:pPr>
            <w:r>
              <w:rPr/>
              <w:t xml:space="preserve">Ширина</w:t>
            </w:r>
            <w:r>
              <w:rPr>
                <w:lang w:val="ru-RU"/>
              </w:rPr>
              <w:t xml:space="preserve"> </w:t>
            </w:r>
            <w:r>
              <w:rPr/>
              <w:t xml:space="preserve">В</w:t>
            </w:r>
          </w:p>
          <w:p>
            <w:pPr>
              <w:jc w:val="start"/>
            </w:pPr>
            <w:r>
              <w:rPr/>
              <w:t xml:space="preserve">в м.</w:t>
            </w:r>
          </w:p>
        </w:tc>
        <w:tc>
          <w:tcPr>
            <w:tcW w:w="1500" w:type="pct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Высота помещения </w:t>
            </w:r>
            <w:r>
              <w:rPr>
                <w:i w:val="1"/>
                <w:iCs w:val="1"/>
              </w:rPr>
              <w:t xml:space="preserve">Hno</w:t>
            </w:r>
            <w:r>
              <w:rPr>
                <w:lang w:val="ru-RU"/>
                <w:i w:val="1"/>
                <w:iCs w:val="1"/>
              </w:rPr>
              <w:t xml:space="preserve">м,</w:t>
            </w:r>
            <w:r>
              <w:rPr>
                <w:lang w:val="ru-RU"/>
              </w:rPr>
              <w:t xml:space="preserve"> м.</w:t>
            </w:r>
          </w:p>
        </w:tc>
        <w:tc>
          <w:tcPr>
            <w:tcW w:w="1100" w:type="pct"/>
            <w:noWrap/>
          </w:tcPr>
          <w:p>
            <w:pPr>
              <w:jc w:val="start"/>
            </w:pPr>
            <w:r>
              <w:rPr/>
              <w:t xml:space="preserve">Грузоподъемность крана,</w:t>
            </w:r>
            <w:r>
              <w:rPr>
                <w:lang w:val="ru-RU"/>
              </w:rPr>
              <w:t xml:space="preserve"> </w:t>
            </w:r>
            <w:r>
              <w:rPr/>
              <w:t xml:space="preserve">Q,</w:t>
            </w:r>
            <w:r>
              <w:rPr>
                <w:lang w:val="ru-RU"/>
              </w:rPr>
              <w:t xml:space="preserve"> </w:t>
            </w:r>
            <w:r>
              <w:rPr/>
              <w:t xml:space="preserve">тн.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48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4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72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9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5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36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8,4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10</w:t>
            </w:r>
          </w:p>
        </w:tc>
      </w:tr>
      <w:tr>
        <w:trPr/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</w:t>
            </w:r>
          </w:p>
        </w:tc>
        <w:tc>
          <w:tcPr>
            <w:tcW w:w="750" w:type="pct"/>
            <w:vAlign w:val="top"/>
            <w:noWrap/>
          </w:tcPr>
          <w:p>
            <w:pPr>
              <w:jc w:val="start"/>
            </w:pPr>
            <w:r>
              <w:rPr/>
              <w:t xml:space="preserve">66</w:t>
            </w:r>
          </w:p>
        </w:tc>
        <w:tc>
          <w:tcPr>
            <w:tcW w:w="900" w:type="pct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30</w:t>
            </w:r>
          </w:p>
        </w:tc>
        <w:tc>
          <w:tcPr>
            <w:tcW w:w="1500" w:type="pct"/>
            <w:vAlign w:val="top"/>
            <w:noWrap/>
          </w:tcPr>
          <w:p>
            <w:pPr>
              <w:jc w:val="start"/>
            </w:pPr>
            <w:r>
              <w:rPr/>
              <w:t xml:space="preserve">10,8</w:t>
            </w:r>
          </w:p>
        </w:tc>
        <w:tc>
          <w:tcPr>
            <w:tcW w:w="1100" w:type="pct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</w:tr>
    </w:tbl>
    <w:p>
      <w:pPr>
        <w:jc w:val="start"/>
      </w:pPr>
    </w:p>
    <w:p>
      <w:pPr/>
      <w:r>
        <w:rPr>
          <w:lang w:val="ru-RU"/>
        </w:rPr>
        <w:t xml:space="preserve">Исходные данные по гардеробно-душевому блоку</w:t>
      </w:r>
    </w:p>
    <w:tbl>
      <w:tblGrid>
        <w:gridCol w:w="840" w:type="dxa"/>
        <w:gridCol w:w="1140" w:type="dxa"/>
        <w:gridCol w:w="885" w:type="dxa"/>
        <w:gridCol w:w="1110" w:type="dxa"/>
        <w:gridCol w:w="1530" w:type="dxa"/>
        <w:gridCol w:w="840" w:type="dxa"/>
        <w:gridCol w:w="1545" w:type="dxa"/>
        <w:gridCol w:w="1485" w:type="dxa"/>
      </w:tblGrid>
      <w:tblPr>
        <w:tblW w:w="963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840" w:type="dxa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В</w:t>
            </w:r>
            <w:r>
              <w:rPr/>
              <w:t xml:space="preserve">ариант</w:t>
            </w:r>
          </w:p>
        </w:tc>
        <w:tc>
          <w:tcPr>
            <w:tcW w:w="3210" w:type="dxa"/>
            <w:gridSpan w:val="3"/>
            <w:noWrap/>
          </w:tcPr>
          <w:p>
            <w:pPr>
              <w:jc w:val="start"/>
            </w:pPr>
            <w:r>
              <w:rPr/>
              <w:t xml:space="preserve">Строительные параметры вспомогательного корпуса</w:t>
            </w:r>
          </w:p>
        </w:tc>
        <w:tc>
          <w:tcPr>
            <w:tcW w:w="2400" w:type="dxa"/>
            <w:gridSpan w:val="2"/>
            <w:noWrap/>
          </w:tcPr>
          <w:p>
            <w:pPr>
              <w:jc w:val="start"/>
            </w:pPr>
            <w:r>
              <w:rPr/>
              <w:t xml:space="preserve">Количество работающих</w:t>
            </w:r>
          </w:p>
        </w:tc>
        <w:tc>
          <w:tcPr>
            <w:tcW w:w="1545" w:type="dxa"/>
            <w:noWrap/>
          </w:tcPr>
          <w:p>
            <w:pPr>
              <w:jc w:val="start"/>
            </w:pPr>
            <w:r>
              <w:rPr/>
              <w:t xml:space="preserve">Число смен</w:t>
            </w:r>
          </w:p>
        </w:tc>
        <w:tc>
          <w:tcPr>
            <w:tcW w:w="1485" w:type="dxa"/>
            <w:noWrap/>
          </w:tcPr>
          <w:p>
            <w:pPr>
              <w:jc w:val="start"/>
            </w:pPr>
            <w:r>
              <w:rPr/>
              <w:t xml:space="preserve">Максимальная смена в %</w:t>
            </w:r>
          </w:p>
        </w:tc>
      </w:tr>
      <w:tr>
        <w:trPr/>
        <w:tc>
          <w:tcPr>
            <w:tcW w:w="1140" w:type="dxa"/>
            <w:noWrap/>
          </w:tcPr>
          <w:p>
            <w:pPr>
              <w:jc w:val="start"/>
            </w:pPr>
            <w:r>
              <w:rPr/>
              <w:t xml:space="preserve">Ширина в м.</w:t>
            </w:r>
          </w:p>
        </w:tc>
        <w:tc>
          <w:tcPr>
            <w:tcW w:w="885" w:type="dxa"/>
            <w:noWrap/>
          </w:tcPr>
          <w:p>
            <w:pPr>
              <w:jc w:val="start"/>
            </w:pPr>
            <w:r>
              <w:rPr/>
              <w:t xml:space="preserve">Длина   в м.</w:t>
            </w:r>
          </w:p>
        </w:tc>
        <w:tc>
          <w:tcPr>
            <w:tcW w:w="1110" w:type="dxa"/>
            <w:noWrap/>
          </w:tcPr>
          <w:p>
            <w:pPr>
              <w:jc w:val="start"/>
            </w:pPr>
            <w:r>
              <w:rPr/>
              <w:t xml:space="preserve">Число этажей</w:t>
            </w:r>
            <w:r>
              <w:rPr>
                <w:lang w:val="ru-RU"/>
              </w:rPr>
              <w:t xml:space="preserve"> </w:t>
            </w:r>
            <w:r>
              <w:rPr/>
              <w:t xml:space="preserve">по проекту</w:t>
            </w:r>
          </w:p>
        </w:tc>
        <w:tc>
          <w:tcPr>
            <w:tcW w:w="1530" w:type="dxa"/>
            <w:noWrap/>
          </w:tcPr>
          <w:p>
            <w:pPr>
              <w:jc w:val="start"/>
            </w:pPr>
            <w:r>
              <w:rPr/>
              <w:t xml:space="preserve">мужчин</w:t>
            </w:r>
          </w:p>
        </w:tc>
        <w:tc>
          <w:tcPr>
            <w:tcW w:w="840" w:type="dxa"/>
            <w:noWrap/>
          </w:tcPr>
          <w:p>
            <w:pPr>
              <w:jc w:val="start"/>
            </w:pPr>
            <w:r>
              <w:rPr/>
              <w:t xml:space="preserve">женщин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1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11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2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02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60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3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33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130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170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40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4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04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18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5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05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15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1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150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3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50</w:t>
            </w:r>
          </w:p>
        </w:tc>
      </w:tr>
      <w:tr>
        <w:trPr/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>
                <w:lang w:val="ru-RU"/>
              </w:rPr>
              <w:t xml:space="preserve">6</w:t>
            </w:r>
          </w:p>
        </w:tc>
        <w:tc>
          <w:tcPr>
            <w:tcW w:w="1140" w:type="dxa"/>
            <w:vAlign w:val="top"/>
            <w:noWrap/>
          </w:tcPr>
          <w:p>
            <w:pPr>
              <w:jc w:val="start"/>
            </w:pPr>
            <w:r>
              <w:rPr/>
              <w:t xml:space="preserve">06</w:t>
            </w:r>
          </w:p>
        </w:tc>
        <w:tc>
          <w:tcPr>
            <w:tcW w:w="885" w:type="dxa"/>
            <w:vAlign w:val="top"/>
            <w:noWrap/>
          </w:tcPr>
          <w:p>
            <w:pPr>
              <w:jc w:val="start"/>
            </w:pPr>
            <w:r>
              <w:rPr/>
              <w:t xml:space="preserve">12</w:t>
            </w:r>
          </w:p>
        </w:tc>
        <w:tc>
          <w:tcPr>
            <w:tcW w:w="1110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530" w:type="dxa"/>
            <w:vAlign w:val="top"/>
            <w:noWrap/>
          </w:tcPr>
          <w:p>
            <w:pPr>
              <w:jc w:val="start"/>
            </w:pPr>
            <w:r>
              <w:rPr/>
              <w:t xml:space="preserve">140</w:t>
            </w:r>
          </w:p>
        </w:tc>
        <w:tc>
          <w:tcPr>
            <w:tcW w:w="840" w:type="dxa"/>
            <w:vAlign w:val="top"/>
            <w:noWrap/>
          </w:tcPr>
          <w:p>
            <w:pPr>
              <w:jc w:val="start"/>
            </w:pPr>
            <w:r>
              <w:rPr/>
              <w:t xml:space="preserve">160</w:t>
            </w:r>
          </w:p>
        </w:tc>
        <w:tc>
          <w:tcPr>
            <w:tcW w:w="1545" w:type="dxa"/>
            <w:vAlign w:val="top"/>
            <w:noWrap/>
          </w:tcPr>
          <w:p>
            <w:pPr>
              <w:jc w:val="start"/>
            </w:pPr>
            <w:r>
              <w:rPr/>
              <w:t xml:space="preserve">2</w:t>
            </w:r>
          </w:p>
        </w:tc>
        <w:tc>
          <w:tcPr>
            <w:tcW w:w="1485" w:type="dxa"/>
            <w:vAlign w:val="top"/>
            <w:noWrap/>
          </w:tcPr>
          <w:p>
            <w:pPr>
              <w:jc w:val="start"/>
            </w:pPr>
            <w:r>
              <w:rPr/>
              <w:t xml:space="preserve">70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Блок – схема зданий</w:t>
      </w:r>
      <w:r>
        <w:rPr>
          <w:b w:val="1"/>
          <w:bCs w:val="1"/>
        </w:rPr>
        <w:t xml:space="preserve">:</w:t>
      </w:r>
    </w:p>
    <w:p>
      <w:pPr/>
    </w:p>
    <w:p>
      <w:pPr/>
      <w:r>
        <w:rPr/>
        <w:t xml:space="preserve"> </w:t>
      </w:r>
    </w:p>
    <w:p>
      <w:pPr/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 Состав проекта</w:t>
      </w:r>
    </w:p>
    <w:p>
      <w:pPr/>
    </w:p>
    <w:p>
      <w:pPr/>
      <w:r>
        <w:rPr/>
        <w:t xml:space="preserve"> Графическая часть</w:t>
      </w:r>
      <w:r>
        <w:rPr>
          <w:lang w:val="ru-RU"/>
        </w:rPr>
        <w:t xml:space="preserve"> включает: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Фасад М 1:100</w:t>
      </w:r>
    </w:p>
    <w:p>
      <w:pPr>
        <w:numPr>
          <w:ilvl w:val="0"/>
          <w:numId w:val="2"/>
        </w:numPr>
      </w:pPr>
      <w:r>
        <w:rPr/>
        <w:t xml:space="preserve">План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План покрытия и кровли производственного корпуса М 1:400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Разрезы продольный и поперечный производственного корпуса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2-3 узла, характерных для здания М 1:5; 1:10; 1:20</w:t>
      </w:r>
    </w:p>
    <w:p>
      <w:pPr>
        <w:numPr>
          <w:ilvl w:val="0"/>
          <w:numId w:val="2"/>
        </w:numPr>
      </w:pPr>
      <w:r>
        <w:rPr/>
        <w:t xml:space="preserve">План бытовых помещений М 1:100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Разрез пристройки бытовых помещений М 1:100</w:t>
      </w:r>
    </w:p>
    <w:p>
      <w:pPr>
        <w:jc w:val="start"/>
      </w:pPr>
      <w:r>
        <w:rPr>
          <w:lang w:val="ru-RU"/>
        </w:rPr>
        <w:t xml:space="preserve">Чертежи должны быть выполнены карандашом или в компьютерной графике на листе формата А</w:t>
      </w:r>
      <w:r>
        <w:rPr>
          <w:lang w:val="ru-RU"/>
          <w:vertAlign w:val="subscript"/>
        </w:rPr>
        <w:t xml:space="preserve">1</w:t>
      </w:r>
      <w:r>
        <w:rPr>
          <w:lang w:val="ru-RU"/>
        </w:rPr>
        <w:t xml:space="preserve">.</w:t>
      </w:r>
    </w:p>
    <w:p>
      <w:pPr/>
    </w:p>
    <w:p>
      <w:pPr/>
      <w:r>
        <w:rPr>
          <w:lang w:val="ru-RU"/>
        </w:rPr>
        <w:t xml:space="preserve">Пояснительная записка</w:t>
      </w:r>
    </w:p>
    <w:p>
      <w:pPr>
        <w:jc w:val="start"/>
      </w:pPr>
      <w:r>
        <w:rPr>
          <w:lang w:val="ru-RU"/>
        </w:rPr>
        <w:t xml:space="preserve">В состав пояснительной записки должны входить расчет бытовых помещений, описание объемно – планировочного и конструктивного решения гардеробно–душевого блока и конструктивного решения производственного здания. Пояснительная записка оформляется на писчей бумаге формата А4.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Критерии оценки курсового проекта:</w:t>
      </w:r>
    </w:p>
    <w:p>
      <w:pPr>
        <w:jc w:val="start"/>
      </w:pPr>
      <w:r>
        <w:rPr>
          <w:lang w:val="ru-RU"/>
        </w:rPr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проектом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>
        <w:jc w:val="start"/>
      </w:pPr>
      <w:r>
        <w:rPr>
          <w:lang w:val="ru-RU"/>
        </w:rPr>
        <w:t xml:space="preserve">Оценку «хорошо» заслуживает обучающийся, выполнивший курсовой проект с незначительными погрешностями, которые были исправлены им самостоятельно при защите курсового проекта.</w:t>
      </w:r>
    </w:p>
    <w:p>
      <w:pPr>
        <w:jc w:val="start"/>
      </w:pPr>
      <w:r>
        <w:rPr>
          <w:lang w:val="ru-RU"/>
        </w:rPr>
        <w:t xml:space="preserve">Оценку «удовлетворительно» заслуживает обучающийся, выполнивший курсовой проект с погрешностями, самостоятельное исправление которых было затруднительно или привело к значительному увеличению сроков сдачи курсового проекта. Оформление проекта не совсем соответствует требованиям. Недостаточно полно раскрыто предусмотренное проектом задание.</w:t>
      </w:r>
    </w:p>
    <w:p>
      <w:pPr>
        <w:jc w:val="start"/>
      </w:pPr>
      <w:r>
        <w:rPr>
          <w:lang w:val="ru-RU"/>
        </w:rPr>
        <w:t xml:space="preserve">Оценку «неудовлетворительно» заслуживает обучающийся, выполнивший курсовой проект в срок, значительно превышающий установленный графиком. Оформление проекта не соответствует требованиям: некоторые задания, предусмотренные проектом,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>
      <w:pPr>
        <w:jc w:val="start"/>
      </w:pP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Экзамен проводится в виде собеседования по билетам. 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Перечень вопросов к экзаменационному собеседованию:</w:t>
      </w:r>
    </w:p>
    <w:p>
      <w:pPr>
        <w:numPr>
          <w:ilvl w:val="0"/>
          <w:numId w:val="3"/>
        </w:numPr>
      </w:pPr>
      <w:r>
        <w:rPr/>
        <w:t xml:space="preserve">Воздействия на конструкции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Конструктивные и строительные системы. Конструктивные схемы здания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Требования к зданиям. Общие положения проектирования зданий</w:t>
      </w:r>
    </w:p>
    <w:p>
      <w:pPr>
        <w:numPr>
          <w:ilvl w:val="0"/>
          <w:numId w:val="3"/>
        </w:numPr>
      </w:pPr>
      <w:r>
        <w:rPr/>
        <w:t xml:space="preserve">Объёмно - планировочные решения зданий</w:t>
      </w:r>
    </w:p>
    <w:p>
      <w:pPr>
        <w:numPr>
          <w:ilvl w:val="0"/>
          <w:numId w:val="3"/>
        </w:numPr>
      </w:pPr>
      <w:r>
        <w:rPr/>
        <w:t xml:space="preserve">Классификация зданий.</w:t>
      </w:r>
    </w:p>
    <w:p>
      <w:pPr>
        <w:numPr>
          <w:ilvl w:val="0"/>
          <w:numId w:val="3"/>
        </w:numPr>
      </w:pPr>
      <w:r>
        <w:rPr/>
        <w:t xml:space="preserve">Санитарно - гигиенические требования</w:t>
      </w:r>
    </w:p>
    <w:p>
      <w:pPr>
        <w:numPr>
          <w:ilvl w:val="0"/>
          <w:numId w:val="3"/>
        </w:numPr>
      </w:pPr>
      <w:r>
        <w:rPr/>
        <w:t xml:space="preserve">Противопожарные требования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Объёмно - планировочные решения многоэтажных зданий.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Правила привязок конструктивных элементов бескаркасных и каркасных зданий к координационным осям.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здания.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Функциональный процесс - как основа проектирования.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Модульная координация размеров, унификация и типизация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Входной узел. Основные планировочные решения.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Противопожарные мероприятия. Эвакуация людей из помещений.</w:t>
      </w:r>
    </w:p>
    <w:p>
      <w:pPr>
        <w:numPr>
          <w:ilvl w:val="0"/>
          <w:numId w:val="3"/>
        </w:numPr>
      </w:pPr>
      <w:r>
        <w:rPr/>
        <w:t xml:space="preserve">Конструктивные схемы многоэтажных зданий.</w:t>
      </w:r>
    </w:p>
    <w:p>
      <w:pPr>
        <w:numPr>
          <w:ilvl w:val="0"/>
          <w:numId w:val="3"/>
        </w:numPr>
      </w:pPr>
      <w:r>
        <w:rPr/>
        <w:t xml:space="preserve">Конструктивные схемы каркасных зданий.</w:t>
      </w:r>
    </w:p>
    <w:p>
      <w:pPr>
        <w:numPr>
          <w:ilvl w:val="0"/>
          <w:numId w:val="3"/>
        </w:numPr>
      </w:pPr>
      <w:r>
        <w:rPr/>
        <w:t xml:space="preserve">Конструкции стен.</w:t>
      </w:r>
    </w:p>
    <w:p>
      <w:pPr>
        <w:numPr>
          <w:ilvl w:val="0"/>
          <w:numId w:val="3"/>
        </w:numPr>
      </w:pPr>
      <w:r>
        <w:rPr/>
        <w:t xml:space="preserve">Конструкции перекрытий.</w:t>
      </w:r>
    </w:p>
    <w:p>
      <w:pPr>
        <w:numPr>
          <w:ilvl w:val="0"/>
          <w:numId w:val="3"/>
        </w:numPr>
      </w:pPr>
      <w:r>
        <w:rPr/>
        <w:t xml:space="preserve">Полы.</w:t>
      </w:r>
    </w:p>
    <w:p>
      <w:pPr>
        <w:numPr>
          <w:ilvl w:val="0"/>
          <w:numId w:val="3"/>
        </w:numPr>
      </w:pPr>
      <w:r>
        <w:rPr/>
        <w:t xml:space="preserve">Окна, витрины и витражи.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Особенности объемно - планировочных и конструктивных решений зданий возводимых методом подъема перекрытий и этажей.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Железобетонные монолитные и сборно-монолитные перекрытия.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Кровли, требования к ним, классификация.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Лестницы, требования к ним. Классификация.</w:t>
      </w:r>
    </w:p>
    <w:p>
      <w:pPr>
        <w:numPr>
          <w:ilvl w:val="0"/>
          <w:numId w:val="3"/>
        </w:numPr>
      </w:pPr>
      <w:r>
        <w:rPr/>
        <w:t xml:space="preserve">Перегородки.</w:t>
      </w:r>
    </w:p>
    <w:p>
      <w:pPr>
        <w:numPr>
          <w:ilvl w:val="0"/>
          <w:numId w:val="3"/>
        </w:numPr>
      </w:pPr>
      <w:r>
        <w:rPr/>
        <w:t xml:space="preserve">Двери. Ворота.</w:t>
      </w:r>
    </w:p>
    <w:p>
      <w:pPr>
        <w:numPr>
          <w:ilvl w:val="0"/>
          <w:numId w:val="3"/>
        </w:numPr>
      </w:pPr>
      <w:r>
        <w:rPr/>
        <w:t xml:space="preserve">Железобетонный каркас зданий.</w:t>
      </w:r>
    </w:p>
    <w:p>
      <w:pPr>
        <w:numPr>
          <w:ilvl w:val="0"/>
          <w:numId w:val="3"/>
        </w:numPr>
      </w:pPr>
      <w:r>
        <w:rPr/>
        <w:t xml:space="preserve">Стальной каркас зданий.</w:t>
      </w:r>
    </w:p>
    <w:p>
      <w:pPr>
        <w:numPr>
          <w:ilvl w:val="0"/>
          <w:numId w:val="3"/>
        </w:numPr>
      </w:pPr>
      <w:r>
        <w:rPr/>
        <w:t xml:space="preserve">Плоские несущие конструкции покрытий.</w:t>
      </w:r>
    </w:p>
    <w:p>
      <w:pPr>
        <w:numPr>
          <w:ilvl w:val="0"/>
          <w:numId w:val="3"/>
        </w:numPr>
      </w:pPr>
      <w:r>
        <w:rPr/>
        <w:t xml:space="preserve">Оболочки и складки.</w:t>
      </w:r>
    </w:p>
    <w:p>
      <w:pPr>
        <w:numPr>
          <w:ilvl w:val="0"/>
          <w:numId w:val="3"/>
        </w:numPr>
      </w:pPr>
      <w:r>
        <w:rPr/>
        <w:t xml:space="preserve">Ванты и мембраны</w:t>
      </w:r>
    </w:p>
    <w:p>
      <w:pPr>
        <w:numPr>
          <w:ilvl w:val="0"/>
          <w:numId w:val="3"/>
        </w:numPr>
      </w:pPr>
      <w:r>
        <w:rPr/>
        <w:t xml:space="preserve">Перекрестные (структурные) покрытия.</w:t>
      </w:r>
    </w:p>
    <w:p>
      <w:pPr>
        <w:numPr>
          <w:ilvl w:val="0"/>
          <w:numId w:val="3"/>
        </w:numPr>
      </w:pPr>
      <w:r>
        <w:rPr/>
        <w:t xml:space="preserve">Купола и своды.</w:t>
      </w:r>
    </w:p>
    <w:p>
      <w:pPr>
        <w:numPr>
          <w:ilvl w:val="0"/>
          <w:numId w:val="3"/>
        </w:numPr>
      </w:pPr>
      <w:r>
        <w:rPr/>
        <w:t xml:space="preserve">Световые и аэрационные фонари.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Обеспечение пространственной жесткости и устойчивости одноэтажных зданий.</w:t>
      </w:r>
    </w:p>
    <w:p>
      <w:pPr/>
      <w:r>
        <w:rPr>
          <w:lang w:val="ru-RU"/>
        </w:rPr>
        <w:t xml:space="preserve">Экзамен допустимо проводить в форме тестирования: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Пример теста по предмету «Архитектура гражданских и промышленных зданий».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1. По материалу основных несущих конструкций здания можно разделить на: с железобетонным каркасом, со стальным каркасом, со смешанным каркасом.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2. Каркас одноэтажных промышленных зданий состоит из продольных рам, образованных колоннами и несущими конструкциями покрытия, и поперечных связывающих элементов.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3. Стены каркасных зданий опирают на фундаментные балки, укладываемые между подколонниками фундаментов на специальные железобетонные столбики или на консоли колонн.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да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4. Для обеспечения работы мостовых кранов на консоли колонн монтируют подкрановые балки, под которые укладывают рельсы. Подкрановые балки обеспечивают также дополнительную пространственную жесткость здания. </w:t>
      </w:r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5. Подстропильные железобетонные фермы и балки используют: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А) при шаге стропильных ферм и балок 6 м и шаге колонн средних рядов 12 м</w:t>
      </w: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Б) при шаге стропильных ферм и балок 12 м и шаге колонн средних рядов 12 м</w:t>
      </w:r>
    </w:p>
    <w:p>
      <w:pPr>
        <w:jc w:val="start"/>
      </w:pPr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6. «Сэндвич» - это каркасные панели шириной 5 м и длиной 15 м, которые состоят из стальной рамы и утеплителя.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  <w:r>
        <w:rPr>
          <w:rFonts w:ascii="Times New Roman" w:hAnsi="Times New Roman" w:eastAsia="Times New Roman" w:cs="Times New Roman"/>
        </w:rPr>
        <w:t xml:space="preserve">7. Несущие конструкции фонарей в большинстве случаев изготавливают из:</w:t>
      </w:r>
    </w:p>
    <w:p>
      <w:pPr/>
      <w:r>
        <w:rPr>
          <w:rFonts w:ascii="Times New Roman" w:hAnsi="Times New Roman" w:eastAsia="Times New Roman" w:cs="Times New Roman"/>
        </w:rPr>
        <w:t xml:space="preserve">А) стали</w:t>
      </w:r>
    </w:p>
    <w:p>
      <w:pPr/>
      <w:r>
        <w:rPr>
          <w:rFonts w:ascii="Times New Roman" w:hAnsi="Times New Roman" w:eastAsia="Times New Roman" w:cs="Times New Roman"/>
        </w:rPr>
        <w:t xml:space="preserve">Б) дерева</w:t>
      </w:r>
    </w:p>
    <w:p>
      <w:pPr/>
      <w:r>
        <w:rPr>
          <w:rFonts w:ascii="Times New Roman" w:hAnsi="Times New Roman" w:eastAsia="Times New Roman" w:cs="Times New Roman"/>
        </w:rPr>
        <w:t xml:space="preserve">В) железобетона</w:t>
      </w:r>
    </w:p>
    <w:p>
      <w:pPr/>
    </w:p>
    <w:p>
      <w:pPr>
        <w:jc w:val="start"/>
      </w:pPr>
      <w:r>
        <w:rPr>
          <w:rFonts w:ascii="Times New Roman" w:hAnsi="Times New Roman" w:eastAsia="Times New Roman" w:cs="Times New Roman"/>
        </w:rPr>
        <w:t xml:space="preserve">8. Прослойка связывает покрытие с подстилающим слоем или обеспечивает покрытие упругой постелью. При этом используется цементно-песчаный раствор, битумные мастики, песчаные для полов из металлических или бетонных плит.</w:t>
      </w:r>
    </w:p>
    <w:p>
      <w:pPr/>
    </w:p>
    <w:p>
      <w:pPr/>
      <w:r>
        <w:rPr>
          <w:rFonts w:ascii="Times New Roman" w:hAnsi="Times New Roman" w:eastAsia="Times New Roman" w:cs="Times New Roman"/>
        </w:rPr>
        <w:t xml:space="preserve">А) да</w:t>
      </w:r>
    </w:p>
    <w:p>
      <w:pPr/>
      <w:r>
        <w:rPr>
          <w:rFonts w:ascii="Times New Roman" w:hAnsi="Times New Roman" w:eastAsia="Times New Roman" w:cs="Times New Roman"/>
        </w:rPr>
        <w:t xml:space="preserve">Б) нет</w:t>
      </w:r>
    </w:p>
    <w:p>
      <w:pPr/>
    </w:p>
    <w:p>
      <w:pPr>
        <w:jc w:val="start"/>
      </w:pPr>
      <w:r>
        <w:rPr>
          <w:lang w:val="ru-RU"/>
        </w:rPr>
        <w:t xml:space="preserve">Критерии оценивания экзамена: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отлично</w:t>
      </w:r>
      <w:r>
        <w:rPr>
          <w:lang w:val="ru-RU"/>
        </w:rPr>
        <w:t xml:space="preserve">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хорошо</w:t>
      </w:r>
      <w:r>
        <w:rPr>
          <w:lang w:val="ru-RU"/>
        </w:rPr>
        <w:t xml:space="preserve">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удовлетворительно</w:t>
      </w:r>
      <w:r>
        <w:rPr>
          <w:lang w:val="ru-RU"/>
        </w:rPr>
        <w:t xml:space="preserve">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>
          <w:lang w:val="ru-RU"/>
        </w:rPr>
        <w:t xml:space="preserve">Оценка «</w:t>
      </w:r>
      <w:r>
        <w:rPr>
          <w:lang w:val="ru-RU"/>
          <w:i w:val="1"/>
          <w:iCs w:val="1"/>
        </w:rPr>
        <w:t xml:space="preserve">неудовлетворительно</w:t>
      </w:r>
      <w:r>
        <w:rPr>
          <w:lang w:val="ru-RU"/>
        </w:rPr>
        <w:t xml:space="preserve">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</w:pPr>
      <w:r>
        <w:rPr>
          <w:lang w:val="ru-RU"/>
        </w:rPr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>
        <w:jc w:val="start"/>
      </w:pPr>
      <w:r>
        <w:rPr>
          <w:lang w:val="ru-RU"/>
        </w:rPr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>
        <w:jc w:val="start"/>
      </w:pPr>
      <w:r>
        <w:rPr>
          <w:lang w:val="ru-RU"/>
        </w:rPr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>
        <w:jc w:val="start"/>
      </w:pPr>
      <w:r>
        <w:rPr>
          <w:lang w:val="ru-RU"/>
        </w:rPr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>
        <w:jc w:val="start"/>
      </w:pPr>
      <w:r>
        <w:rPr>
          <w:lang w:val="ru-RU"/>
        </w:rPr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>
        <w:jc w:val="start"/>
      </w:pPr>
      <w:r>
        <w:rPr>
          <w:lang w:val="ru-RU"/>
        </w:rPr>
        <w:t xml:space="preserve">При подготовке к экзамену </w:t>
      </w:r>
      <w:r>
        <w:rPr/>
        <w:t xml:space="preserve"> </w:t>
      </w:r>
      <w:r>
        <w:rPr>
          <w:lang w:val="ru-RU"/>
        </w:rPr>
        <w:t xml:space="preserve">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</w:t>
      </w:r>
      <w:r>
        <w:rPr/>
        <w:t xml:space="preserve"> </w:t>
      </w:r>
    </w:p>
    <w:p>
      <w:pPr>
        <w:jc w:val="start"/>
      </w:pPr>
      <w:r>
        <w:rPr>
          <w:lang w:val="ru-RU"/>
        </w:rPr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Архитектура. Общий курс [Электронный ресурс] : Учебное пособие / Тишков В.А., Рыскулова М.Н. - М. : Издательство АСВ, 2020. Режим доступа: http://www.studentlibrary.ru/book/ISBN9785432300768.html</w:t>
      </w:r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Никитина, Т.А. Архитектура и конструкции производственных зданий : учебное пособие / Т.А. Никитина ; Федеральное агентство по образованию, Северный (Арктический) федеральный университет имени М.В. Ломоносова. - Архангельск : САФУ, 2020 - 195 с. : ил., схем., табл. - Библиогр. в кн. - ISBN 978-5-261-01033-3 ; То же [Электронный ресурс]. - URL: </w:t>
      </w:r>
      <w:hyperlink r:id="rId7" w:history="1">
        <w:r>
          <w:rPr/>
          <w:t xml:space="preserve">http://biblioclub.ru/index.php?page=book&amp;id=436242</w:t>
        </w:r>
      </w:hyperlink>
    </w:p>
    <w:p>
      <w:pPr>
        <w:numPr>
          <w:ilvl w:val="0"/>
          <w:numId w:val="5"/>
        </w:numPr>
      </w:pPr>
      <w:r>
        <w:rPr>
          <w:lang w:val="ru-RU"/>
          <w:color w:val="000000"/>
        </w:rPr>
        <w:t xml:space="preserve">Справочник современного архитектора / Л.Р. Маилян, А.Г. Лазарев, Т.А. Самко, Л.П. Юркова ; под общ. ред. Л.Р. Маиляна. – Ростов-на-Дону : Издательство «Феникс», 2018. – 640 с. : ил., схем., табл. – (Строительство и дизайн). – Режим доступа: по подписке. – URL: </w:t>
      </w:r>
      <w:hyperlink r:id="rId8" w:history="1">
        <w:r>
          <w:rPr/>
          <w:t xml:space="preserve">http://biblioclub.ru/index.php?page=book&amp;id=271603</w:t>
        </w:r>
      </w:hyperlink>
      <w:r>
        <w:rPr>
          <w:lang w:val="ru-RU"/>
          <w:color w:val="000000"/>
        </w:rPr>
        <w:t xml:space="preserve"> . – Библиогр. в кн. – ISBN 978-5-222-16806-6.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Архитектурное проектирование / сост. Т.О. Цитман ; Государственное автономное образовательное учреждение Астраханской области высшего профессионального образования «Астраханский инженерно-строительный институт», Кафедра «Архитектуры и градостроительства». – Астрахань : Астраханский инженерно-строительный институт, 2013. – 40 с. : ил. – Режим доступа: по подписке. – URL: </w:t>
      </w:r>
      <w:hyperlink r:id="rId9" w:history="1">
        <w:r>
          <w:rPr/>
          <w:t xml:space="preserve">http://biblioclub.ru/index.php?page=book&amp;id=438903</w:t>
        </w:r>
      </w:hyperlink>
      <w:r>
        <w:rPr>
          <w:lang w:val="ru-RU"/>
          <w:color w:val="000000"/>
        </w:rPr>
        <w:t xml:space="preserve"> . – Текст : электронный.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Архитектура промышленных зданий [Электронный ресурс] : Учебник / Дятков С.В., Михеев А.П. - 4-е изд., перераб. и доп. Учебник. - М. : Издательство АСВ, 2010. Режим доступа: </w:t>
      </w:r>
      <w:r>
        <w:rPr>
          <w:color w:val="000000"/>
        </w:rPr>
        <w:t xml:space="preserve">http</w:t>
      </w:r>
      <w:r>
        <w:rPr>
          <w:lang w:val="ru-RU"/>
          <w:color w:val="000000"/>
        </w:rPr>
        <w:t xml:space="preserve">://</w:t>
      </w:r>
      <w:r>
        <w:rPr>
          <w:color w:val="000000"/>
        </w:rPr>
        <w:t xml:space="preserve">www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studentlibrary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book</w:t>
      </w:r>
      <w:r>
        <w:rPr>
          <w:lang w:val="ru-RU"/>
          <w:color w:val="000000"/>
        </w:rPr>
        <w:t xml:space="preserve">/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9785930937268.</w:t>
      </w:r>
      <w:r>
        <w:rPr>
          <w:color w:val="000000"/>
        </w:rPr>
        <w:t xml:space="preserve">html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Букша, В.В. Расчет и проектирование оснований и фундаментов промышленных зданий : учебное пособие / В.В. Букша, Л.Н. Аверьянова, Н.Ф. Пыхтеева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- 112 с. : ил., схем. - Библиогр. в кн. - </w:t>
      </w:r>
      <w:r>
        <w:rPr>
          <w:color w:val="000000"/>
        </w:rPr>
        <w:t xml:space="preserve">ISBN</w:t>
      </w:r>
      <w:r>
        <w:rPr>
          <w:lang w:val="ru-RU"/>
          <w:color w:val="000000"/>
        </w:rPr>
        <w:t xml:space="preserve"> 978-5-7996-1182-8 ; То же [Электронный ресурс]. - </w:t>
      </w:r>
      <w:r>
        <w:rPr>
          <w:color w:val="000000"/>
        </w:rPr>
        <w:t xml:space="preserve">URL</w:t>
      </w:r>
      <w:r>
        <w:rPr>
          <w:lang w:val="ru-RU"/>
          <w:color w:val="000000"/>
        </w:rPr>
        <w:t xml:space="preserve">: </w:t>
      </w:r>
      <w:hyperlink r:id="rId10" w:history="1">
        <w:r>
          <w:rPr/>
          <w:t xml:space="preserve">http://biblioclub.ru/index.php?page=book&amp;id=275948</w:t>
        </w:r>
      </w:hyperlink>
      <w:r>
        <w:rPr>
          <w:lang w:val="ru-RU"/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lang w:val="ru-RU"/>
          <w:color w:val="000000"/>
        </w:rPr>
        <w:t xml:space="preserve">Курс лекций по архитектуре гражданских и промышленных зданий [Электронный ресурс] : Учебное пособие / Туснина В.М. - М. : Издательство АСВ, 2011. </w:t>
      </w:r>
      <w:r>
        <w:rPr>
          <w:color w:val="000000"/>
        </w:rPr>
        <w:t xml:space="preserve">Режим доступа: http://www.studentlibrary.ru/book/ISBN9785930938289.html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lang w:val="ru-RU"/>
        </w:rPr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Для поиска учебной и научной литературы студенты используют следующие ресурсы:</w:t>
      </w:r>
    </w:p>
    <w:p>
      <w:pPr>
        <w:jc w:val="start"/>
      </w:pPr>
      <w:r>
        <w:rPr>
          <w:lang w:val="ru-RU"/>
        </w:rPr>
        <w:t xml:space="preserve">1. 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2. Электронная библиотека Республики Карелия </w:t>
      </w:r>
      <w:hyperlink r:id="rId12" w:history="1">
        <w:r>
          <w:rPr/>
          <w:t xml:space="preserve">http://elibrary.karelia.ru/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3. 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 </w:t>
      </w:r>
    </w:p>
    <w:p>
      <w:pPr>
        <w:jc w:val="start"/>
      </w:pPr>
      <w:r>
        <w:rPr>
          <w:lang w:val="ru-RU"/>
        </w:rPr>
        <w:t xml:space="preserve">5. КонсультантПлюс: справочные-правовые системы (доступ с компьютеров библиотеки ПетрГУ).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Программное обеспечение </w:t>
      </w:r>
      <w:r>
        <w:rPr>
          <w:lang w:val="ru-RU"/>
        </w:rPr>
        <w:t xml:space="preserve">дисциплины:</w:t>
      </w:r>
    </w:p>
    <w:p>
      <w:pPr>
        <w:jc w:val="start"/>
      </w:pPr>
      <w:r>
        <w:rPr>
          <w:lang w:val="ru-RU"/>
        </w:rPr>
        <w:t xml:space="preserve">1 Актуальный пакет офисных программ</w:t>
      </w:r>
    </w:p>
    <w:p>
      <w:pPr>
        <w:jc w:val="start"/>
      </w:pPr>
      <w:r>
        <w:rPr>
          <w:lang w:val="ru-RU"/>
        </w:rPr>
        <w:t xml:space="preserve">2. Пакет для просмотра и печати документов </w:t>
      </w:r>
    </w:p>
    <w:p>
      <w:pPr/>
      <w:r>
        <w:rPr>
          <w:lang w:val="ru-RU"/>
        </w:rPr>
        <w:t xml:space="preserve">3. Средства поиска информации в глобальной сети Интернет и веб-пространстве: </w:t>
      </w:r>
    </w:p>
    <w:p>
      <w:pPr/>
      <w:r>
        <w:rPr>
          <w:lang w:val="ru-RU"/>
        </w:rPr>
        <w:t xml:space="preserve">4. Система автоматизированного проектирования в системе 2д и 3д моделирования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start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start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start"/>
      </w:pPr>
      <w:r>
        <w:rPr>
          <w:lang w:val="ru-RU"/>
        </w:rPr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0E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7B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836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DCB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8D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6B4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C7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1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242" TargetMode="External"/><Relationship Id="rId8" Type="http://schemas.openxmlformats.org/officeDocument/2006/relationships/hyperlink" Target="http://biblioclub.ru/index.php?page=book&amp;id=271603" TargetMode="External"/><Relationship Id="rId9" Type="http://schemas.openxmlformats.org/officeDocument/2006/relationships/hyperlink" Target="http://biblioclub.ru/index.php?page=book&amp;id=438903" TargetMode="External"/><Relationship Id="rId10" Type="http://schemas.openxmlformats.org/officeDocument/2006/relationships/hyperlink" Target="http://biblioclub.ru/index.php?page=book&amp;id=275948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2026-04-21T06:22:35+03:00</dcterms:created>
  <dcterms:modified xsi:type="dcterms:W3CDTF">2026-04-21T06:22:35+03:00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