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КОМПЛЕКСНОЕ ИСПОЛЬЗОВАНИЕ ОТХОДОВ ПРОИЗВОДСТВА И ПОТРЕБЛЕНИЯ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Графова Елена Олеговна, профессор, кафедра технологии и организации строительства; профессор, отдел подготовки и аттестации НПР; руководитель, Инновационно-технологический центр разработки и внедрения новых технологий и инвестиционных проектов в лесопромышленном и горном комплексах, доктор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Философия (О), Подготовка к процедуре защиты и защита ВКР (И), Волонтерство (+), Библиография (+), Комплексное использование отходов производства и потребления (О), Менеджмент и маркетинг (О), История России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организационно-технологическому проектированию зданий и сооружений промышленного и гражданского назначения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Технология возведения зданий и сооружений (НО), Организация, управление и планирование в строительстве (О), Календарное планирование строительного производства (О), Компьютерное моделирование и проектирование технологических процессов в строительстве (О), Подготовка к процедуре защиты и защита ВКР (И), Производственная исполнительская практика (О), Комплексное использование отходов производства и потребления (О), Менеджмент и маркетинг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Выбор исходной информации и нормативно-технических документов для организационно-технологического проектирования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ПК-5.2. Разработка календарного плана строительства здания (сооружения) промышленного и гражданского назначения в составе проекта организации строительства;</w:t>
            </w:r>
          </w:p>
          <w:p/>
          <w:p>
            <w:pPr/>
            <w:r>
              <w:rPr/>
              <w:t xml:space="preserve">ПК-5.3. Определение потребности строительного производства в материально-технических и трудовых ресурсах в составе проекта организации строительства;</w:t>
            </w:r>
          </w:p>
          <w:p/>
          <w:p>
            <w:pPr/>
            <w:r>
              <w:rPr/>
              <w:t xml:space="preserve">ПК-5.4. Разработка строительного генерального плана основного периода строительства здания (сооружения) промышленного и гражданского назначения в составе проекта организации строительства;</w:t>
            </w:r>
          </w:p>
          <w:p/>
          <w:p>
            <w:pPr/>
            <w:r>
              <w:rPr/>
              <w:t xml:space="preserve">ПК-5.5. Представление и защита результатов по организационно-технологическому проектированию здания (сооружения) промышленного и гражданского назначения.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Комплексное использование отходов производства и потребления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Комплексное использование отходов производства и потребления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сбора твердых коммунальных отходов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и утилизация отходов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схемы санитарной уборки населенного пункта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сооружений полигона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нормативов образования и морфологического состава отходов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технологии функционирования  предприятий перерабатывающих отходы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Изучений законодательной и нормативной документации по обращению с отходами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Федерального классификационного каталога отходов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свойств опасных отходов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обработки отходов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Преподавание дисциплины ведется с применением традиционных видов образовательных технологий:</w:t>
      </w:r>
    </w:p>
    <w:p>
      <w:pPr/>
      <w:r>
        <w:rPr/>
        <w:t xml:space="preserve">- лекция,</w:t>
      </w:r>
    </w:p>
    <w:p>
      <w:pPr/>
      <w:r>
        <w:rPr/>
        <w:t xml:space="preserve">- практические задания.</w:t>
      </w:r>
    </w:p>
    <w:p>
      <w:pPr/>
      <w:r>
        <w:rPr/>
        <w:t xml:space="preserve">Также предусмотрена экскурсия на природоохранный объект "Завод по переработке отходов, г. Петрозаводск"</w:t>
      </w:r>
    </w:p>
    <w:p>
      <w:pPr/>
      <w:r>
        <w:rPr/>
        <w:t xml:space="preserve">Предусмотрено использование мультимедиа -технологий, электронного учебного пособия.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изучается в тематической последовательности. Эффективное усвоение курса предполагает активную деятельность студентов в аудитории, а также при самостоятельной работе. Лекционный материал раскрывает в основном теоретические аспекты рассматриваемых вопросов. Закрепление материала реализуется также через практические занятия, соответствующие теоретическому материалу. Для изучения дисциплины необходимо использовать рекомендованную литературу. Некоторые вопросы требуют глубокой проработки с привлечением ранее изученного материала по другим дисциплинам.</w:t>
      </w:r>
    </w:p>
    <w:p>
      <w:pPr/>
      <w:r>
        <w:rPr/>
        <w:t xml:space="preserve">Рекомендуется не пропускать занятия. Выполнение всех запланированных работ, сдача творческого задания, устного опроса и семинара – необходимое условие сдачи зачета.</w:t>
      </w:r>
      <w:br/>
      <w:r>
        <w:rPr/>
        <w:t xml:space="preserve">При подготовке к зачету нужно просмотреть весь лекционный и дополнительный материал.</w:t>
      </w:r>
      <w:br/>
      <w:r>
        <w:rPr/>
        <w:t xml:space="preserve">Предусмотрена самостоятельная работа студентов в объеме 82 часов. Самостоятельная работа проводится с целью углубления и упрочения знаний, получаемых в ходе лекционных и практических занятий.</w:t>
      </w:r>
      <w:br/>
      <w:r>
        <w:rPr/>
        <w:t xml:space="preserve">       Эта работа предусматривает:</w:t>
      </w:r>
    </w:p>
    <w:p>
      <w:pPr/>
      <w:r>
        <w:rPr/>
        <w:t xml:space="preserve">- чтение студентами рекомендованной литературы и усвоение теоретического материала дисциплины;</w:t>
      </w:r>
      <w:br/>
      <w:r>
        <w:rPr/>
        <w:t xml:space="preserve">- подготовку к практическим занятиям;</w:t>
      </w:r>
      <w:br/>
      <w:r>
        <w:rPr/>
        <w:t xml:space="preserve">- написание реферата;</w:t>
      </w:r>
      <w:br/>
      <w:r>
        <w:rPr/>
        <w:t xml:space="preserve">- подготовку к выступлению;</w:t>
      </w:r>
      <w:br/>
      <w:r>
        <w:rPr/>
        <w:t xml:space="preserve">- подготовку к зачету.</w:t>
      </w:r>
    </w:p>
    <w:p>
      <w:pPr/>
      <w:r>
        <w:rPr/>
        <w:t xml:space="preserve">Время на самостоятельную работу, необходимую для изучения дисциплины, необходимо равномерно распределить на весь семестр, предусматривая при этом регулярное повторение пройденного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дисциплине используются традиционные и инновационные технологии, активные и интерактивные методы и формы обучения: технология объяснительно-иллюстративного обучения с элементами проблемного изложения; технология предметно-ориентированного обучения; лекции, лекции-презентации, практические занятия, участие в экологических акциях.</w:t>
      </w:r>
      <w:br/>
      <w:r>
        <w:rPr/>
        <w:t xml:space="preserve">Преподаватель, читающий курс лекций, должен использовать для подготовки к занятиям литературу, указанную в основном и дополнительном списках, а также любую другую доступную научную литературу. При кратком изложении вопроса следует привести ссылку на литературу (название, номер главы, раздела, страницы), в которой указанный вопрос приведен более подробно.</w:t>
      </w:r>
      <w:br/>
      <w:r>
        <w:rPr/>
        <w:t xml:space="preserve">Для контроля знаний студентов используются текущая аттестация (устный опрос, семинар, творческое задание) и промежуточная аттестация, проводимая в виде зачета.</w:t>
      </w:r>
      <w:br/>
      <w:r>
        <w:rPr/>
        <w:t xml:space="preserve">В ходе аттестаций, обучающемуся начисляются отметки о выполнении заданий. Сдача зачета возможна только в случае наличия всех отметок о выполнении.</w:t>
      </w:r>
      <w:br/>
      <w:r>
        <w:rPr/>
        <w:t xml:space="preserve">Студенты должны иметь возможность с первой недели изучения предмета ознакомиться с информацией о требуемом объеме знаний.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Муравей, Л.А. Экология и безопасность жизнедеятельности: учеб.пособие /Под.ред. Л.А.Муравья. – М.: ЮНИТИ-ДАНА, 2000.- 447с.</w:t>
      </w:r>
    </w:p>
    <w:p>
      <w:pPr>
        <w:numPr>
          <w:ilvl w:val="0"/>
          <w:numId w:val="1"/>
        </w:numPr>
      </w:pPr>
      <w:r>
        <w:rPr/>
        <w:t xml:space="preserve">Ларичев, Т.А. Утилизация, переработка и захоронение промышленных отходов: опорные конспекты/Т.А.Ларичев. – Кемерово, 2013 -80с.</w:t>
      </w:r>
    </w:p>
    <w:p>
      <w:pPr>
        <w:numPr>
          <w:ilvl w:val="0"/>
          <w:numId w:val="1"/>
        </w:numPr>
      </w:pPr>
      <w:r>
        <w:rPr/>
        <w:t xml:space="preserve">Рябов,Р.Г. Утилизация, переработка и захоронение отходов: учеб.пособиеР.Г.Рябов, М.С. Комисаров, Е.П. Верховская, Г.Г.Рябов.</w:t>
      </w:r>
    </w:p>
    <w:p>
      <w:pPr/>
      <w:r>
        <w:rPr/>
        <w:t xml:space="preserve">– Тула, Изд-во Тул.госпед.ун-та им.Л.Н.Толстого, 2012 – 149с.</w:t>
      </w:r>
    </w:p>
    <w:p>
      <w:pPr>
        <w:numPr>
          <w:ilvl w:val="0"/>
          <w:numId w:val="2"/>
        </w:numPr>
      </w:pPr>
      <w:r>
        <w:rPr/>
        <w:t xml:space="preserve">Огородникова, С.Ю. Отходы производства и потребления: учебно-методическое пособие / сост. С.Ю. Огородникова. – Киров: ООО «Типография «Старая Вятка», 2012. – 94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Сметанин, В.И. Защита окружающей среды от отходов производства и потребления [Текст]/ В.И. Сметанин. – М.: Колос, 2000 – 231с.</w:t>
      </w:r>
    </w:p>
    <w:p>
      <w:pPr>
        <w:numPr>
          <w:ilvl w:val="0"/>
          <w:numId w:val="3"/>
        </w:numPr>
      </w:pPr>
      <w:r>
        <w:rPr/>
        <w:t xml:space="preserve">Черняховский, Э. Р. Управление экологической безопасностью: учеб.-практ. пособие / Э. Р.Черняховский. - М. : Альфа-Пресс, 2007 - 248 с.</w:t>
      </w:r>
    </w:p>
    <w:p>
      <w:pPr>
        <w:numPr>
          <w:ilvl w:val="0"/>
          <w:numId w:val="3"/>
        </w:numPr>
      </w:pPr>
      <w:r>
        <w:rPr/>
        <w:t xml:space="preserve">Беньямовский, Д.Н. Термические методы обезвреживания ТБО. М.: Стройиздат, 1979 192 с.</w:t>
      </w:r>
    </w:p>
    <w:p>
      <w:pPr>
        <w:numPr>
          <w:ilvl w:val="0"/>
          <w:numId w:val="3"/>
        </w:numPr>
      </w:pPr>
      <w:r>
        <w:rPr/>
        <w:t xml:space="preserve">Бобович, Б.Б. Переработка промышленных отходов. М. СП ИНТЕРМЕТ ИНЖИНИРИНГ, 1999 446 с.</w:t>
      </w:r>
    </w:p>
    <w:p>
      <w:pPr>
        <w:numPr>
          <w:ilvl w:val="0"/>
          <w:numId w:val="3"/>
        </w:numPr>
      </w:pPr>
      <w:r>
        <w:rPr/>
        <w:t xml:space="preserve">Матросов, В.С. Управление отходами.-М.: Гардарики, 1999.48 с.</w:t>
      </w:r>
    </w:p>
    <w:p>
      <w:pPr/>
      <w:r>
        <w:rPr/>
        <w:t xml:space="preserve">6  Пальгунов, П.П. Утилизация промышленных отходов. М.:Стройиздат, 1990 352 с.</w:t>
      </w:r>
    </w:p>
    <w:p>
      <w:pPr>
        <w:numPr>
          <w:ilvl w:val="0"/>
          <w:numId w:val="4"/>
        </w:numPr>
      </w:pPr>
      <w:r>
        <w:rPr/>
        <w:t xml:space="preserve">Раковская, Е.Г. Основы управления отходами. [Электронный ресурс] — Элекдан.—СПб.:http://e.lanbook.com/book/45324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5"/>
        </w:numPr>
      </w:pPr>
      <w:hyperlink r:id="rId7" w:history="1">
        <w:r>
          <w:rPr/>
          <w:t xml:space="preserve">Электронный каталог Научной библиотеки ПетрГУ [Электронный ресурс]. – Электрон.дан. – Режим доступа:</w:t>
        </w:r>
      </w:hyperlink>
      <w:r>
        <w:rPr/>
        <w:t xml:space="preserve"> http://foliant.ru/catalog/psulibr</w:t>
      </w:r>
    </w:p>
    <w:p>
      <w:pPr>
        <w:numPr>
          <w:ilvl w:val="0"/>
          <w:numId w:val="5"/>
        </w:numPr>
      </w:pPr>
      <w:r>
        <w:rPr/>
        <w:t xml:space="preserve">Э</w:t>
      </w:r>
      <w:hyperlink r:id="rId8" w:history="1">
        <w:r>
          <w:rPr/>
          <w:t xml:space="preserve">лектронной библиотечной системы «Университетская библиотека онлайн» [Электронный ресурс]. – Электрон.дан. – Режим доступа: http://biblioclub.ru</w:t>
        </w:r>
      </w:hyperlink>
    </w:p>
    <w:p>
      <w:pPr>
        <w:numPr>
          <w:ilvl w:val="0"/>
          <w:numId w:val="5"/>
        </w:numPr>
      </w:pPr>
      <w:hyperlink r:id="rId9" w:history="1">
        <w:r>
          <w:rPr/>
          <w:t xml:space="preserve">Электронной библиотечной системы «Юрайт» [Электронный ресурс]. – Электрон.дан. – Режим доступа:</w:t>
        </w:r>
      </w:hyperlink>
      <w:r>
        <w:rPr/>
        <w:t xml:space="preserve"> </w:t>
      </w:r>
      <w:hyperlink r:id="rId9" w:history="1">
        <w:r>
          <w:rPr/>
          <w:t xml:space="preserve">https://www.biblio-online.ru</w:t>
        </w:r>
      </w:hyperlink>
    </w:p>
    <w:p>
      <w:pPr>
        <w:numPr>
          <w:ilvl w:val="0"/>
          <w:numId w:val="5"/>
        </w:numPr>
      </w:pPr>
      <w:r>
        <w:rPr/>
        <w:t xml:space="preserve">Информационно-справочных систем </w:t>
      </w:r>
      <w:hyperlink r:id="rId10" w:history="1">
        <w:r>
          <w:rPr/>
          <w:t xml:space="preserve">«Кодекс»</w:t>
        </w:r>
      </w:hyperlink>
      <w:r>
        <w:rPr/>
        <w:t xml:space="preserve"> и «Техэксперт»[Электронный ресурс]. – Электрон.дан. – Режим доступа: http: // kodeks.karelia.ru/lib/show/petrsu</w:t>
      </w:r>
    </w:p>
    <w:p>
      <w:pPr>
        <w:numPr>
          <w:ilvl w:val="0"/>
          <w:numId w:val="5"/>
        </w:numPr>
      </w:pPr>
      <w:r>
        <w:rPr/>
        <w:t xml:space="preserve">Электронная библиотечная система «IPRbooks» [Электронный ресурс]. – Электрон.дан. – Режим доступа: </w:t>
      </w:r>
      <w:hyperlink r:id="rId11" w:history="1">
        <w:r>
          <w:rPr/>
          <w:t xml:space="preserve">http://www.iprbookshop.ru/</w:t>
        </w:r>
      </w:hyperlink>
    </w:p>
    <w:p>
      <w:pPr>
        <w:numPr>
          <w:ilvl w:val="0"/>
          <w:numId w:val="5"/>
        </w:numPr>
      </w:pPr>
      <w:r>
        <w:rPr/>
        <w:t xml:space="preserve">Интернет университет информационных технологий [Электронный ресурс]. –Электрон. дан. – Режим доступа: http://www.intuit.ru/</w:t>
      </w:r>
    </w:p>
    <w:p>
      <w:pPr>
        <w:numPr>
          <w:ilvl w:val="0"/>
          <w:numId w:val="5"/>
        </w:numPr>
      </w:pPr>
      <w:r>
        <w:rPr/>
        <w:t xml:space="preserve">Научная электронная библиотека [Электронный ресурс]. – Электрон. дан. – Режим доступа: http://www.elibrary.ru/</w:t>
      </w:r>
    </w:p>
    <w:p>
      <w:pPr>
        <w:numPr>
          <w:ilvl w:val="0"/>
          <w:numId w:val="5"/>
        </w:numPr>
      </w:pPr>
      <w:r>
        <w:rPr/>
        <w:t xml:space="preserve">Национальная электронная библиотека [Электронный ресурс]. – Электрон. дан. –Режим доступа: </w:t>
      </w:r>
      <w:hyperlink r:id="rId12" w:history="1">
        <w:r>
          <w:rPr/>
          <w:t xml:space="preserve">http://www.nns.ru/</w:t>
        </w:r>
      </w:hyperlink>
    </w:p>
    <w:p>
      <w:pPr>
        <w:numPr>
          <w:ilvl w:val="0"/>
          <w:numId w:val="5"/>
        </w:numPr>
      </w:pPr>
      <w:r>
        <w:rPr/>
        <w:t xml:space="preserve">Сайт Управления Росприроднадзора по Республике Карелия [Электронный ресурс]. – Электрон. дан. –Режим доступа: http://10.rpn.gov.ru/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52C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413C6C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13C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8721CF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E0B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596D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s://www.biblio-online.ru" TargetMode="External"/><Relationship Id="rId10" Type="http://schemas.openxmlformats.org/officeDocument/2006/relationships/hyperlink" Target="http://kodeks.karelia.ru/petrsu" TargetMode="External"/><Relationship Id="rId11" Type="http://schemas.openxmlformats.org/officeDocument/2006/relationships/hyperlink" Target="http://www.iprbookshop.ru/" TargetMode="External"/><Relationship Id="rId12" Type="http://schemas.openxmlformats.org/officeDocument/2006/relationships/hyperlink" Target="http://www.nn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2026-04-23T17:19:56+03:00</dcterms:created>
  <dcterms:modified xsi:type="dcterms:W3CDTF">2026-04-23T17:19:56+03:00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