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Правовые аспекты в туризме (О), Подготовка к сдаче и сдача государственного экзамена (И), Производственная практика (О), Основы предпринимательской деятельности (О), Организация внутреннего туризма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 Затраты предприятия Предпринимательские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лекционных занятий студенту необходимо вести конспектирование учебного материала. Обращать внимание на категории, формулировки, раскрывающие содержание изучаемой дисциплины, научные выводы и практические рекомендации.</w:t>
      </w:r>
    </w:p>
    <w:p>
      <w:pPr/>
      <w:r>
        <w:rPr/>
        <w:t xml:space="preserve">Желательно оставить в рабочих конспектах поля, на которых делать пометки, подчеркивающие особую важность тех или иных теоретических положений.</w:t>
      </w:r>
    </w:p>
    <w:p>
      <w:pPr/>
      <w:r>
        <w:rPr/>
        <w:t xml:space="preserve">Рекомендуется активно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1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1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2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2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2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2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2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7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061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70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2026-04-21T11:16:58+03:00</dcterms:created>
  <dcterms:modified xsi:type="dcterms:W3CDTF">2026-04-21T11:16:58+03:00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