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 карта мира. </w:t>
      </w:r>
    </w:p>
    <w:p>
      <w:pPr>
        <w:numPr>
          <w:ilvl w:val="0"/>
          <w:numId w:val="2"/>
        </w:numPr>
      </w:pPr>
      <w:r>
        <w:rPr/>
        <w:t xml:space="preserve"> Политическая типология стран 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2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1B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27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9E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6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5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9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5A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