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ТРАДИЦИИ И КУЛЬТУРА ПИТАНИЯ НАРОДОВ МИРА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взаимодействие с потребителями и заинтересованными сторонами в процессе обслуживания на предприятиях гостиничного сервиса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Организация службы приема и размещения (Н), Обычаи и традиции народов мира (О), Традиции и культура питания народов мира (О), Иностранный язык в профессиональной сфере (ОИ), Подготовка к сдаче и сдача государственного экзамена (И), Преддипломная практика (И), Выполнение и защита выпускной квалификационной работы (И), Производственная практика (проектно-технологическая практика) (О), Организация службы питания (О), Технологии гостиничной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Знание законодательства Российской Федерации о предоставлении гостиничных услуг, основ организации деятельности гостиниц и иных средств размещения, основ межличностного и делового общения, переговоров, конфликтологии, социально-культурных норм бизнес-коммуникаций, методов взаимодействия с потребителями, партнерами и другими заинтересованными сторонами - представителями разных культур, специализированных программ, используемых в письменных коммуникациях, в том числе возможностей информационно-телекоммуникационной сети "Интернет";</w:t>
            </w:r>
          </w:p>
          <w:p/>
          <w:p>
            <w:pPr/>
            <w:r>
              <w:rPr/>
              <w:t xml:space="preserve">ПК-2.2. Умение владеть навыками организации устных и письменных коммуникаций с потребителями, партнерами, заинтересованными сторонами, соблюдать протокол деловых встреч и этикет с учетом национальных и корпоративных особенностей собеседников, общаться на английском языке или другом иностранном языке с учетом характеристик постоянных клиентов гостиничного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ПК-2.3. Навыки проведения встреч, переговоров и презентаций гостиничного продукта потребителям, партнерам и другими заинтересованным сторонам, разрешения проблемных ситуаций потребителей, партнеров, заинтересованных сторон.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Традиции и культура питания народов мира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Мировая индустрия гостеприимства.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обычаев и традиций народов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Обычаи и традиции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обычаи и традиции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История изучения обрядов и традиций. Обычаи и традиции межличностных отношений. Обычаи и традиции народов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Обычаи и традиции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обычаи и традиции. Обычаи и традиции, связанные с праздниками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 по теме «Введение. История изучения обрядов и традиций» Коллоквиум 1, Тест 1 Практическое занятие по теме «Обычаи и традиции народов России» презентация докладов, обсуждения, дискуссия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«Обычаи и традиции межличностных отношений», презентация докладов, обсуждения, дискуссия.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«Пищевые обычаи и традиции», Коллоквиум 2, презентация докладов, обсуждения, дискуссия.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Практическое занятие по теме «Обычаи и традиции, связанные с праздниками», презентация докладов, обсуждения, дискуссия.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лекционного материала - изучение предложенной литературы - подготовка докладов и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Владимир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Иваново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Кострома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Ярославль</w:t>
      </w:r>
    </w:p>
    <w:p>
      <w:pPr>
        <w:numPr>
          <w:ilvl w:val="0"/>
          <w:numId w:val="1"/>
        </w:numPr>
      </w:pPr>
      <w:r>
        <w:rPr/>
        <w:t xml:space="preserve">Культурно-исторические центры России - Великий Новгород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Смоленск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Рязань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Казань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Вологда</w:t>
      </w:r>
    </w:p>
    <w:p>
      <w:pPr>
        <w:numPr>
          <w:ilvl w:val="0"/>
          <w:numId w:val="1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Архангельское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–Поленово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Богородицкое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ИсторическиемонастыриРоссии – Соловецкиймонастырь</w:t>
      </w:r>
    </w:p>
    <w:p>
      <w:pPr>
        <w:numPr>
          <w:ilvl w:val="0"/>
          <w:numId w:val="1"/>
        </w:numPr>
      </w:pPr>
      <w:r>
        <w:rPr/>
        <w:t xml:space="preserve">Своя тема (по согласованию с преподавателем)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Проект «Красныймаршрут»</w:t>
      </w:r>
    </w:p>
    <w:p>
      <w:pPr>
        <w:numPr>
          <w:ilvl w:val="0"/>
          <w:numId w:val="2"/>
        </w:numPr>
      </w:pP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Виды объектов культурного и исторического наследия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БашниМосковскогоКремля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СоборнаяплощадьМосковскогоКремля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Краснаяплощадь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ИсторическиерайоныМосквы</w:t>
      </w:r>
    </w:p>
    <w:p>
      <w:pPr>
        <w:numPr>
          <w:ilvl w:val="0"/>
          <w:numId w:val="3"/>
        </w:numPr>
      </w:pPr>
      <w:r>
        <w:rPr/>
        <w:t xml:space="preserve">История основания и строительства Санкт-Петербурга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Дворцово-парковыепригородыСанкт-Петербурга</w:t>
      </w:r>
    </w:p>
    <w:p>
      <w:pPr>
        <w:numPr>
          <w:ilvl w:val="0"/>
          <w:numId w:val="3"/>
        </w:numPr>
      </w:pPr>
      <w:r>
        <w:rPr/>
        <w:t xml:space="preserve">Исторические монастыри России (по выбору студента)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Культурадворянскойусадьбы в России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Центрынародныххудожественныхпромыслов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Владимиркаккультурно-историческийцентр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Ивановокаккультурно-историческийцентр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Костромакаккультурно-историческийцентр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Ярославлькаккультурно-историческийцентр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Великий Новгород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Смоленсккаккультурно-историческийцентр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Рязанькаккультурно-историческийцентр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Казанькаккультурно-историческийцентр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Вологдакаккультурно-историческийцентр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 «Красныймаршрут»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Кущева, Н. Б. Традиции и культуры питания народов мира : Учебное пособие / Н. Б. Кущева. – Санкт-Петербург : Санкт-Петербургский государственный экономический университет, 2017. – 102 с. – ISBN 978-5-7310-4146-1. – EDN YWWVQA.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Культура, традиции и обычаи народов мира : Материалы региональной научной конференции с международным участием студентов, магистрантов, аспирантов, Тюмень, 25 мая 2018 года / Отв. ред. Н.Ю. Гаврилова. – Тюмень: Тюменский индустриальный университет, 2018. – 87 с. – ISBN 978-5-9961-1561-7. – EDN YVUCGT.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7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7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rostourunion.ru</w:t>
        </w:r>
      </w:hyperlink>
    </w:p>
    <w:p>
      <w:pPr>
        <w:numPr>
          <w:ilvl w:val="1"/>
          <w:numId w:val="7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www.russiatourism.ru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ratanews.ru</w:t>
        </w:r>
      </w:hyperlink>
    </w:p>
    <w:p>
      <w:pPr>
        <w:numPr>
          <w:ilvl w:val="1"/>
          <w:numId w:val="7"/>
        </w:numPr>
      </w:pPr>
      <w:r>
        <w:rPr/>
        <w:t xml:space="preserve">Музеи Московского Кремля. Официальный сайт. </w:t>
      </w:r>
      <w:r>
        <w:rPr/>
        <w:t xml:space="preserve">Электронный адрес: </w:t>
      </w:r>
      <w:hyperlink r:id="rId11" w:history="1">
        <w:r>
          <w:rPr/>
          <w:t xml:space="preserve">http://www.kreml.ru</w:t>
        </w:r>
      </w:hyperlink>
    </w:p>
    <w:p>
      <w:pPr>
        <w:numPr>
          <w:ilvl w:val="1"/>
          <w:numId w:val="7"/>
        </w:numPr>
      </w:pPr>
      <w:r>
        <w:rPr/>
        <w:t xml:space="preserve">Государственный Эрмитаж. Официальный сайт. </w:t>
      </w:r>
      <w:r>
        <w:rPr/>
        <w:t xml:space="preserve">Электронный адрес: </w:t>
      </w:r>
      <w:hyperlink r:id="rId12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7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3" w:history="1">
        <w:r>
          <w:rPr/>
          <w:t xml:space="preserve">http://gr-guide.ru</w:t>
        </w:r>
      </w:hyperlink>
    </w:p>
    <w:p>
      <w:pPr>
        <w:numPr>
          <w:ilvl w:val="1"/>
          <w:numId w:val="7"/>
        </w:numPr>
      </w:pPr>
      <w:r>
        <w:rPr/>
        <w:t xml:space="preserve">Каталог сайтов «Монастыри России». Электронный адрес: </w:t>
      </w:r>
      <w:hyperlink r:id="rId14" w:history="1">
        <w:r>
          <w:rPr/>
          <w:t xml:space="preserve">http://pravfilms.ru</w:t>
        </w:r>
      </w:hyperlink>
    </w:p>
    <w:p>
      <w:pPr>
        <w:numPr>
          <w:ilvl w:val="1"/>
          <w:numId w:val="7"/>
        </w:numPr>
      </w:pPr>
      <w:r>
        <w:rPr/>
        <w:t xml:space="preserve"> 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5" w:history="1">
        <w:r>
          <w:rPr/>
          <w:t xml:space="preserve">http://solovki-monastyr.ru</w:t>
        </w:r>
      </w:hyperlink>
    </w:p>
    <w:p>
      <w:pPr>
        <w:numPr>
          <w:ilvl w:val="1"/>
          <w:numId w:val="7"/>
        </w:numPr>
      </w:pPr>
      <w:r>
        <w:rPr/>
        <w:t xml:space="preserve"> </w:t>
      </w:r>
      <w:r>
        <w:rPr/>
        <w:t xml:space="preserve">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16" w:history="1">
        <w:r>
          <w:rPr/>
          <w:t xml:space="preserve">http://valaam.ru/</w:t>
        </w:r>
      </w:hyperlink>
    </w:p>
    <w:p>
      <w:pPr>
        <w:numPr>
          <w:ilvl w:val="1"/>
          <w:numId w:val="7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17" w:history="1">
        <w:r>
          <w:rPr/>
          <w:t xml:space="preserve">https://svirskoe.ru/</w:t>
        </w:r>
      </w:hyperlink>
    </w:p>
    <w:p>
      <w:pPr>
        <w:numPr>
          <w:ilvl w:val="1"/>
          <w:numId w:val="7"/>
        </w:numPr>
      </w:pPr>
      <w:r>
        <w:rPr/>
        <w:t xml:space="preserve"> </w:t>
      </w:r>
      <w:r>
        <w:rPr/>
        <w:t xml:space="preserve">Мир усадеб. Усадьбы России. Официальный сайт. Электронныйадрес: </w:t>
      </w:r>
      <w:hyperlink r:id="rId18" w:history="1">
        <w:r>
          <w:rPr/>
          <w:t xml:space="preserve">http://mirusadeb.ru</w:t>
        </w:r>
      </w:hyperlink>
    </w:p>
    <w:p>
      <w:pPr>
        <w:numPr>
          <w:ilvl w:val="1"/>
          <w:numId w:val="7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19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8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9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10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11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12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3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5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7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8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9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20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21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22"/>
        </w:numPr>
      </w:pPr>
      <w:r>
        <w:rPr/>
        <w:t xml:space="preserve">система «Антиплагиат.ВУЗ» (</w:t>
      </w:r>
      <w:hyperlink r:id="rId2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3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A7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CB2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CCC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F48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42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EC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D42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9AE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8D325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18797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05EB3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565FA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1C8BC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E2BC7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324E5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8FA62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EAA4D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06704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EC98F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98B70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EA92C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51B95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7911FE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A3B5E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www.rostourunion.ru" TargetMode="External"/><Relationship Id="rId9" Type="http://schemas.openxmlformats.org/officeDocument/2006/relationships/hyperlink" Target="http://www.russiatourism.ru" TargetMode="External"/><Relationship Id="rId10" Type="http://schemas.openxmlformats.org/officeDocument/2006/relationships/hyperlink" Target="http://www.ratanews.ru" TargetMode="External"/><Relationship Id="rId11" Type="http://schemas.openxmlformats.org/officeDocument/2006/relationships/hyperlink" Target="http://www.kreml.ru" TargetMode="External"/><Relationship Id="rId12" Type="http://schemas.openxmlformats.org/officeDocument/2006/relationships/hyperlink" Target="http://www.hermitagemuseum" TargetMode="External"/><Relationship Id="rId13" Type="http://schemas.openxmlformats.org/officeDocument/2006/relationships/hyperlink" Target="http://gr-guide.ru" TargetMode="External"/><Relationship Id="rId14" Type="http://schemas.openxmlformats.org/officeDocument/2006/relationships/hyperlink" Target="http://pravfilms.ru" TargetMode="External"/><Relationship Id="rId15" Type="http://schemas.openxmlformats.org/officeDocument/2006/relationships/hyperlink" Target="http://solovki-monastyr.ru" TargetMode="External"/><Relationship Id="rId16" Type="http://schemas.openxmlformats.org/officeDocument/2006/relationships/hyperlink" Target="http://valaam.ru/" TargetMode="External"/><Relationship Id="rId17" Type="http://schemas.openxmlformats.org/officeDocument/2006/relationships/hyperlink" Target="https://svirskoe.ru/" TargetMode="External"/><Relationship Id="rId18" Type="http://schemas.openxmlformats.org/officeDocument/2006/relationships/hyperlink" Target="http://mirusadeb.ru" TargetMode="External"/><Relationship Id="rId19" Type="http://schemas.openxmlformats.org/officeDocument/2006/relationships/hyperlink" Target="http://www.nkhp.ru" TargetMode="External"/><Relationship Id="rId2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2026-04-21T00:29:17+03:00</dcterms:created>
  <dcterms:modified xsi:type="dcterms:W3CDTF">2026-04-21T00:29:17+03:00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