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Кузнецова Наталья Юрьевна, заместитель директора по научной работе, Институт физической культуры, спорта и туризма; доцент, кафедра туризма; доцент, отдел подготовки и аттестации НПР; специалист, Учебно-методический центр Института физической культуры, спорта и туризма; куратор, Студенческое научное общество Института физической культуры, спорта и туризма, кандидат исторических наук; Максимова Валентина Ивановна, доцент, кафедра туризма; заведующий базой, УОЦ "Урозеро", кандидат педагогических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</w:t>
      </w:r>
      <w:r>
        <w:rPr/>
        <w:t xml:space="preserve"> </w:t>
      </w:r>
      <w:r>
        <w:rPr/>
        <w:t xml:space="preserve"> на основе анализа исходных данных, последующего</w:t>
      </w:r>
      <w:r>
        <w:rPr/>
        <w:t xml:space="preserve"> </w:t>
      </w:r>
      <w:r>
        <w:rPr/>
        <w:t xml:space="preserve"> обоснования</w:t>
      </w:r>
      <w:r>
        <w:rPr/>
        <w:t xml:space="preserve"> </w:t>
      </w:r>
      <w:r>
        <w:rPr/>
        <w:t xml:space="preserve"> принимаемых проектных решений, формирование</w:t>
      </w:r>
      <w:r>
        <w:rPr/>
        <w:t xml:space="preserve"> </w:t>
      </w:r>
      <w:r>
        <w:rPr/>
        <w:t xml:space="preserve">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изучение опыта применения информационных и программных средств, применяемых в</w:t>
      </w:r>
      <w:r>
        <w:rPr/>
        <w:t xml:space="preserve"> </w:t>
      </w:r>
      <w:r>
        <w:rPr/>
        <w:t xml:space="preserve"> разработке и управлении проектной деятельностью;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</w:t>
      </w:r>
      <w:r>
        <w:rPr/>
        <w:t xml:space="preserve"> </w:t>
      </w:r>
      <w:r>
        <w:rPr/>
        <w:t xml:space="preserve">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практики: стационарная.</w:t>
      </w:r>
    </w:p>
    <w:p>
      <w:pPr/>
      <w:r>
        <w:rPr/>
        <w:t xml:space="preserve">Практика проводится в Институте физической культуры, спорта и туризма ПетрГУ на кафедре безопасности жизнедеятельности и здоровьесберегающих технологий.</w:t>
      </w:r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УК-1.1.  Анализирует задачу, выделяя ее базовые составляющие.  Осуществляет декомпозицию задачи.
УК-1.2. Находит и критически анализирует информацию, необходимую для решения поставленной задачи.  
УК-1.3. Рассматривает различные варианты решения задачи, оценивая их достоинства и недостатки.
УК-1.4.  Грамотно, логично, аргументированно формирует собственные суждения и оценки. 
Отличает факты от мнений, интерпретаций, оценок и т.д. в рассуждениях других участников деятельности.
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
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
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управлять ресурсами гостиничного предприятия и осуществлять проектную деятельность в гостиничном сервисе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ПК-3.1. Знание законодательства Российской Федерации о предоставлении гостиничных услуг, основ организации деятельности гостиниц и иных средств размещения, основ организации, планирования и контроля деятельности подчиненных, теории мотивации персонала и обеспечения лояльности персонала, теории межличностного и делового общения, переговоров, конфликтологии, специализированных программ, используемых в гостиничных комплексах, основ финансового, бухгалтерского и статистического учета в сфере гостиничного сервиса;
ПК-3.2. Умение владеть стратегическими и тактическими методами анализа потребности департаментов (служб, отделов) гостиничного комплекса в материальных ресурсах и персонале, осуществлять планирование и организацию деятельности департаментов (служб, отделов) гостиничного комплекса, осуществлять координацию и контроль, проводить оценку эффективности деятельности департаментов (служб, отделов) гостиничного комплекса, использовать наставничество, делегирование, коучинг и другие современные формы развития руководящего состава и ключевых сотрудников департаментов (служб, отделов) гостиничного комплекса, владеть навыками деловых и межличностных коммуникаций, проведения совещаний и собраний в трудовом коллективе, общаться на английском языке или другом иностранном языке с учетом характеристик постоянных клиентов гостиничного комплекса на уровне, обеспечивающем эффективные профессиональные коммуникации;
ПК-3.3. Навыки оценки и планирования потребностей департаментов (служб, отделов) в материальных ресурсах и персонале, планирования текущей деятельности департаментов (служб, отделов) гостиничного комплекса, формирования системы бизнес-процессов, регламентов и стандартов гостиничного комплекса, координации и контроля деятельности департаментов (служб, отделов).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проектной 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Конструирование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представлению и защите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проекта. Виды проектов и принципы построения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Определение темы и проблемы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целевой группы проекта, изучение проблемы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Формулирование цели и задач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Набор команды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диаграммы Ганта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Смета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показателей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аннотации. Название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представления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Деловые и ролевые игры, разбор конкретных ситуаций, тренинги, мозговой штурм, проблемное обучение, дебаты, метод проектов, дерево решений, обсуждение вполголоса, «Думай и слушай», панельная дискуссия, программа саморазвития.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На установочной конференции обучающимся сообщается перечень заданий в рамках учебной (проектно-технологической) практики , ее цель и задачи. В рамках прохождения практики обучающийся обязан выполнить все предусмотренные рабочей программой практики практические задания, реализуемые по месту прохождения практики.</w:t>
      </w:r>
    </w:p>
    <w:p>
      <w:pPr/>
      <w:r>
        <w:rPr/>
        <w:t xml:space="preserve">В ходе освоения программы практики студенты выполняют виды работ:</w:t>
      </w:r>
    </w:p>
    <w:p>
      <w:pPr/>
      <w:r>
        <w:rPr/>
        <w:t xml:space="preserve">1) Знакомятся с понятием проекта, его видами и принципами построения.</w:t>
      </w:r>
    </w:p>
    <w:p>
      <w:pPr/>
      <w:r>
        <w:rPr/>
        <w:t xml:space="preserve">2) Приобретают умения по определению темы и проблемы проекта</w:t>
      </w:r>
    </w:p>
    <w:p>
      <w:pPr/>
      <w:r>
        <w:rPr/>
        <w:t xml:space="preserve">3) Приобретают умения по определению целевой группы проекта, изучению проблемы</w:t>
      </w:r>
    </w:p>
    <w:p>
      <w:pPr/>
      <w:r>
        <w:rPr/>
        <w:t xml:space="preserve">4) Формулируют цели и задач проекта</w:t>
      </w:r>
    </w:p>
    <w:p>
      <w:pPr/>
      <w:r>
        <w:rPr/>
        <w:t xml:space="preserve">5) Приобретают умения по набору команды проекта</w:t>
      </w:r>
    </w:p>
    <w:p>
      <w:pPr/>
      <w:r>
        <w:rPr/>
        <w:t xml:space="preserve">6) Приобретают умения по составлению диаграммы Ганта</w:t>
      </w:r>
    </w:p>
    <w:p>
      <w:pPr/>
      <w:r>
        <w:rPr/>
        <w:t xml:space="preserve">7) Учатся составлять смету проекта</w:t>
      </w:r>
    </w:p>
    <w:p>
      <w:pPr/>
      <w:r>
        <w:rPr/>
        <w:t xml:space="preserve">8) Учатся определять количественные и качественные показатели проекта</w:t>
      </w:r>
    </w:p>
    <w:p>
      <w:pPr/>
      <w:r>
        <w:rPr/>
        <w:t xml:space="preserve">9) Учатся составлять аннотации и придумывать название проектов</w:t>
      </w:r>
    </w:p>
    <w:p>
      <w:pPr/>
      <w:r>
        <w:rPr/>
        <w:t xml:space="preserve">10) Знакомятся со способами представления проекта</w:t>
      </w:r>
    </w:p>
    <w:p>
      <w:pPr/>
      <w:r>
        <w:rPr/>
        <w:t xml:space="preserve">11) Защищают групповые проекты</w:t>
      </w:r>
    </w:p>
    <w:p>
      <w:pPr/>
      <w:r>
        <w:rPr/>
        <w:t xml:space="preserve">В случае возникновения у обучающегося вопросов, он обращается к руководителю учебной практики (ознакомительной).</w:t>
      </w:r>
    </w:p>
    <w:p>
      <w:pPr/>
      <w:r>
        <w:rPr/>
        <w:t xml:space="preserve">В ходе самостоятельной работы студенты анализируют методическую литературу.</w:t>
      </w:r>
    </w:p>
    <w:p>
      <w:pPr/>
      <w:r>
        <w:rPr/>
        <w:t xml:space="preserve">Самостоятельная работа студента включает в себя: подготовку к прохождению практики; выполнение задания по практике; оформление проекта по итогам учебной (проектно-технологической) практики.</w:t>
      </w:r>
    </w:p>
    <w:p>
      <w:pPr/>
      <w:r>
        <w:rPr/>
        <w:t xml:space="preserve">Требования к презентации для защиты проектов:</w:t>
      </w:r>
    </w:p>
    <w:p>
      <w:pPr/>
      <w:r>
        <w:rPr/>
        <w:t xml:space="preserve">Титульный лист (название проекта, организация, автор, город, год)</w:t>
      </w:r>
      <w:br/>
      <w:r>
        <w:rPr/>
        <w:t xml:space="preserve">Проблема/цель/задачи проекта</w:t>
      </w:r>
      <w:br/>
      <w:r>
        <w:rPr/>
        <w:t xml:space="preserve">Описание проекта</w:t>
      </w:r>
      <w:br/>
      <w:r>
        <w:rPr/>
        <w:t xml:space="preserve">Команда проекта</w:t>
      </w:r>
      <w:br/>
      <w:r>
        <w:rPr/>
        <w:t xml:space="preserve">Целевая аудитория проекта</w:t>
      </w:r>
      <w:br/>
      <w:r>
        <w:rPr/>
        <w:t xml:space="preserve">Смета проекта</w:t>
      </w:r>
      <w:br/>
      <w:r>
        <w:rPr/>
        <w:t xml:space="preserve">Диаграмма Ганта</w:t>
      </w:r>
      <w:br/>
      <w:r>
        <w:rPr/>
        <w:t xml:space="preserve">Количественные и качественные показатели проекта</w:t>
      </w:r>
      <w:br/>
      <w:br/>
      <w:r>
        <w:rPr/>
        <w:t xml:space="preserve">В презентации рекомендуется использовать не более 15 слайдов. На защиту отводится не более 10 минут.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Защита проекта проходит в конце практики в форме защиты презентации, оформленной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проходит в конце семестра в форме защиты групповых проектов по итогам учебной (проектно-технологической) практики, оформленных по требованиям, указанным в рабочей программе практики.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</w:t>
      </w:r>
      <w:r>
        <w:rPr/>
        <w:t xml:space="preserve">Режимдоступа: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window</w:t>
      </w:r>
      <w:r>
        <w:rPr/>
        <w:t xml:space="preserve">.</w:t>
      </w:r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resource</w:t>
      </w:r>
      <w:r>
        <w:rPr/>
        <w:t xml:space="preserve">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</w:t>
      </w:r>
      <w:r>
        <w:rPr/>
        <w:t xml:space="preserve">UML</w:t>
      </w:r>
      <w:r>
        <w:rPr/>
        <w:t xml:space="preserve">» СПб.: ИТМО. 2007— Электронное издание. </w:t>
      </w:r>
      <w:r>
        <w:rPr/>
        <w:t xml:space="preserve">Режимдоступа: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</w:t>
      </w:r>
      <w:r>
        <w:rPr/>
        <w:t xml:space="preserve">UML</w:t>
      </w:r>
      <w:r>
        <w:rPr/>
        <w:t xml:space="preserve">" СПб.: ИТМО. 2007 — Электронное издание. </w:t>
      </w:r>
      <w:r>
        <w:rPr/>
        <w:t xml:space="preserve">Режимдоступа: http://window.edu.ru/resource/386/60386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informika</w:t>
      </w:r>
      <w:r>
        <w:rPr/>
        <w:t xml:space="preserve">/</w:t>
      </w:r>
      <w:r>
        <w:rPr/>
        <w:t xml:space="preserve">ru</w:t>
      </w:r>
      <w:r>
        <w:rPr/>
        <w:t xml:space="preserve">/</w:t>
      </w:r>
      <w:r>
        <w:rPr/>
        <w:t xml:space="preserve">windws</w:t>
      </w:r>
      <w:r>
        <w:rPr/>
        <w:t xml:space="preserve">/</w:t>
      </w:r>
      <w:r>
        <w:rPr/>
        <w:t xml:space="preserve">magaz</w:t>
      </w:r>
      <w:r>
        <w:rPr/>
        <w:t xml:space="preserve">/</w:t>
      </w:r>
      <w:r>
        <w:rPr/>
        <w:t xml:space="preserve">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gupbu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catalog</w:t>
      </w:r>
      <w:r>
        <w:rPr/>
        <w:t xml:space="preserve">/</w:t>
      </w:r>
      <w:r>
        <w:rPr/>
        <w:t xml:space="preserve">kat</w:t>
      </w:r>
      <w:r>
        <w:rPr/>
        <w:t xml:space="preserve">-0.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dvgu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umu</w:t>
      </w:r>
      <w:r>
        <w:rPr/>
        <w:t xml:space="preserve">/</w:t>
      </w:r>
      <w:r>
        <w:rPr/>
        <w:t xml:space="preserve">didjest</w:t>
      </w:r>
      <w:r>
        <w:rPr/>
        <w:t xml:space="preserve">/</w:t>
      </w:r>
      <w:r>
        <w:rPr/>
        <w:t xml:space="preserve">spisjour</w:t>
      </w:r>
      <w:r>
        <w:rPr/>
        <w:t xml:space="preserve">/</w:t>
      </w:r>
      <w:r>
        <w:rPr/>
        <w:t xml:space="preserve">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</w:t>
      </w:r>
      <w:r>
        <w:rPr/>
        <w:t xml:space="preserve">htpp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mon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241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63AC5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F0D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2026-04-21T00:29:27+03:00</dcterms:created>
  <dcterms:modified xsi:type="dcterms:W3CDTF">2026-04-21T00:29:27+03:00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