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ПРОИЗВОДСТВЕННАЯ ПРАКТИКА (ПРОЕКТНО-ТЕХНОЛОГИЧЕСКАЯ ПРАКТИКА)</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«Гостиничный сервис»</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«Гостиничный сервис»).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Кравцова Татьяна Сергеевна, старший преподаватель, кафедра туризма; специалист, Учебно-методический центр Института физической культуры, спорта и туризма; руководитель лаборатории, Учебно-технологическая лаборатория ресторанного дела.</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Производственная</w:t>
      </w:r>
    </w:p>
    <w:p>
      <w:pPr>
        <w:jc w:val="numTab"/>
        <w:spacing w:before="280" w:after="280"/>
      </w:pPr>
      <w:r>
        <w:rPr>
          <w:b w:val="1"/>
          <w:bCs w:val="1"/>
        </w:rPr>
        <w:t xml:space="preserve">2. Тип практики</w:t>
      </w:r>
    </w:p>
    <w:p>
      <w:pPr/>
      <w:r>
        <w:rPr/>
        <w:t xml:space="preserve">Проектно-технологическая</w:t>
      </w:r>
    </w:p>
    <w:p>
      <w:pPr>
        <w:jc w:val="numTab"/>
        <w:spacing w:before="280" w:after="280"/>
      </w:pPr>
      <w:r>
        <w:rPr>
          <w:b w:val="1"/>
          <w:bCs w:val="1"/>
        </w:rPr>
        <w:t xml:space="preserve">3. Цели практики</w:t>
      </w:r>
    </w:p>
    <w:p>
      <w:pPr/>
      <w:r>
        <w:rPr>
          <w:b w:val="1"/>
          <w:bCs w:val="1"/>
        </w:rPr>
        <w:t xml:space="preserve">Цели практики - </w:t>
      </w:r>
      <w:r>
        <w:rPr/>
        <w:t xml:space="preserve">закрепление, расширение, углубление и систематизация знаний, полученных при освоении специальных дисциплин, на основе изучения деятельности конкретного  гостиничного предприятия, изучения современных технологий, оборудования, видов и форм работы с потребителями услуг, приобретение практического опыта в сфере гостиничной деятельности.</w:t>
      </w:r>
    </w:p>
    <w:p>
      <w:pPr>
        <w:jc w:val="numTab"/>
        <w:spacing w:before="280" w:after="280"/>
      </w:pPr>
      <w:r>
        <w:rPr>
          <w:b w:val="1"/>
          <w:bCs w:val="1"/>
        </w:rPr>
        <w:t xml:space="preserve">4. Задачи практики</w:t>
      </w:r>
    </w:p>
    <w:p>
      <w:pPr>
        <w:numPr>
          <w:ilvl w:val="0"/>
          <w:numId w:val="1"/>
        </w:numPr>
      </w:pPr>
      <w:r>
        <w:rPr/>
        <w:t xml:space="preserve">Ознакомление с организационной структурой гостиничного предприятия (организации) и работой его подразделений;</w:t>
      </w:r>
    </w:p>
    <w:p>
      <w:pPr>
        <w:numPr>
          <w:ilvl w:val="0"/>
          <w:numId w:val="1"/>
        </w:numPr>
      </w:pPr>
      <w:r>
        <w:rPr/>
        <w:t xml:space="preserve">Ознакомление с функциональными обязанностями сотрудников гостиничного предприятия;</w:t>
      </w:r>
    </w:p>
    <w:p>
      <w:pPr>
        <w:numPr>
          <w:ilvl w:val="0"/>
          <w:numId w:val="1"/>
        </w:numPr>
      </w:pPr>
      <w:r>
        <w:rPr/>
        <w:t xml:space="preserve">Организация работы с законодательными актами, нормативными документами, инструкциями внутреннего пользования, регламентирующими деятельность  предприятия, в том числе и в сфере безопасности сотрудников и потребителей услуг, качества услуг, их стандартизации и сертификации;</w:t>
      </w:r>
    </w:p>
    <w:p>
      <w:pPr>
        <w:numPr>
          <w:ilvl w:val="0"/>
          <w:numId w:val="1"/>
        </w:numPr>
      </w:pPr>
      <w:r>
        <w:rPr/>
        <w:t xml:space="preserve">Приобретение умений анализа и оценки деятельности конкретного гостиничного предприятия, ознакомление с функциональными обязанностями дежурного по этажу, портье, администратора;</w:t>
      </w:r>
    </w:p>
    <w:p>
      <w:pPr>
        <w:numPr>
          <w:ilvl w:val="0"/>
          <w:numId w:val="1"/>
        </w:numPr>
      </w:pPr>
      <w:r>
        <w:rPr/>
        <w:t xml:space="preserve">Формирование навыков работы с компьютерной техникой, обеспечивающей профессиональную деятельность;  навыками общения и коммуникации с потребителями услуг гостиничного предприятия.</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стационарная, выездная</w:t>
      </w:r>
    </w:p>
    <w:p>
      <w:pPr/>
      <w:r>
        <w:rPr/>
        <w:t xml:space="preserve"> </w:t>
      </w:r>
    </w:p>
    <w:p>
      <w:pPr/>
      <w:r>
        <w:rPr/>
        <w:t xml:space="preserve">Примерные места проведения стационарной практики: предприятия, учреждения и организации сферы туризма и гостеприимства -  отель «Питер Инн», отель «Космос», гостиница «Северная», отель «Прионежский», отель «Онежский замок», гостиница «Маски», хостел «For You», отель «Вилла Айно», гостиница «Карелия»</w:t>
      </w:r>
    </w:p>
    <w:p>
      <w:pPr/>
      <w:r>
        <w:rPr/>
        <w:t xml:space="preserve">Примерные места проведения выездной практики: предприятия, учреждения и организации сферы туризма и гостеприимства в Республике Карелия и Российской Федерации.</w:t>
      </w:r>
    </w:p>
    <w:p>
      <w:pPr/>
      <w:r>
        <w:rPr/>
        <w:t xml:space="preserve">В отдельных случаях практика может быть организована на базе Института физической культуры, спорта и туризма и в форме экспедиции.</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25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5000" w:type="dxa"/>
            <w:noWrap/>
          </w:tcPr>
          <w:p>
            <w:pPr>
              <w:jc w:val="numTab"/>
              <w:ind w:left="0" w:right="0" w:firstLine="0" w:hanging="0"/>
            </w:pPr>
            <w:r>
              <w:rPr/>
              <w:t xml:space="preserve">УК-1.1.  Анализирует задачу, выделяя ее базовые составляющие.  Осуществляет декомпозицию задачи.
УК-1.2. Находит и критически анализирует информацию, необходимую для решения поставленной задачи.  
УК-1.3. Рассматривает различные варианты решения задачи, оценивая их достоинства и недостатки.
УК-1.4.  Грамотно, логично, аргументированно формирует собственные суждения и оценки. 
Отличает факты от мнений, интерпретаций, оценок и т.д. в рассуждениях других участников деятельности.
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УК-2
Основной</w:t>
            </w:r>
          </w:p>
        </w:tc>
        <w:tc>
          <w:tcPr>
            <w:tcW w:w="25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5000" w:type="dxa"/>
            <w:noWrap/>
          </w:tcPr>
          <w:p>
            <w:pPr>
              <w:jc w:val="numTab"/>
              <w:ind w:left="0" w:right="0" w:firstLine="0" w:hanging="0"/>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
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
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УК-3
Основной</w:t>
            </w:r>
          </w:p>
        </w:tc>
        <w:tc>
          <w:tcPr>
            <w:tcW w:w="25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5000" w:type="dxa"/>
            <w:noWrap/>
          </w:tcPr>
          <w:p>
            <w:pPr>
              <w:jc w:val="numTab"/>
              <w:ind w:left="0" w:right="0" w:firstLine="0" w:hanging="0"/>
            </w:pPr>
            <w:r>
              <w:rPr/>
              <w:t xml:space="preserve">УК-3.1. Понимает эффективность использования стратегии сотрудничества для достижения поставленной цели, определяет свою роль в команде.
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
УК-3.3. Предвидит результаты (последствия) личных действий и планирует последовательность шагов для достижения заданного результата.
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УК-4
Основной</w:t>
            </w:r>
          </w:p>
        </w:tc>
        <w:tc>
          <w:tcPr>
            <w:tcW w:w="25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5000" w:type="dxa"/>
            <w:noWrap/>
          </w:tcPr>
          <w:p>
            <w:pPr>
              <w:jc w:val="numTab"/>
              <w:ind w:left="0" w:right="0" w:firstLine="0" w:hanging="0"/>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
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
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
УК-4.4. Умеет коммуникативно и культурно приемлемо вести устные деловые разговоры на государственном и иностранном (-ых) языках.
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УК-8
Основной</w:t>
            </w:r>
          </w:p>
        </w:tc>
        <w:tc>
          <w:tcPr>
            <w:tcW w:w="25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5000" w:type="dxa"/>
            <w:noWrap/>
          </w:tcPr>
          <w:p>
            <w:pPr>
              <w:jc w:val="numTab"/>
              <w:ind w:left="0" w:right="0" w:firstLine="0" w:hanging="0"/>
            </w:pPr>
            <w:r>
              <w:rPr/>
              <w:t xml:space="preserve">УК-8.1. Обеспечивает безопасные и/или комфортные условия труда на рабочем месте, в т.ч. с помощью средств защиты;
УК-8.2. Выявляет и устраняет проблемы, связанные с нарушениями техники безопасности на рабочем месте;
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
УК-8.4. Принимает участие в спасательных и неотложных аварийно-восстановительных мероприятиях в случае возникновения чрезвычайных ситуаций;
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ПК-1
Основной</w:t>
            </w:r>
          </w:p>
        </w:tc>
        <w:tc>
          <w:tcPr>
            <w:tcW w:w="2500" w:type="dxa"/>
            <w:noWrap/>
          </w:tcPr>
          <w:p>
            <w:pPr>
              <w:jc w:val="numTab"/>
              <w:ind w:left="0" w:right="0" w:firstLine="0" w:hanging="0"/>
            </w:pPr>
            <w:r>
              <w:rPr/>
              <w:t xml:space="preserve">Способность применять современные технологии и осуществлять контроль и оценку качества обслуживания на предприятиях гостиничного сервиса</w:t>
            </w:r>
          </w:p>
        </w:tc>
        <w:tc>
          <w:tcPr>
            <w:tcW w:w="5000" w:type="dxa"/>
            <w:noWrap/>
          </w:tcPr>
          <w:p>
            <w:pPr>
              <w:jc w:val="numTab"/>
              <w:ind w:left="0" w:right="0" w:firstLine="0" w:hanging="0"/>
            </w:pPr>
            <w:r>
              <w:rPr/>
              <w:t xml:space="preserve">ПК-1.1. Знание современных технологий в гостиничном сервисе, принципов и методов создания системы контроля работы персонала гостиничного комплекса, способов оценки соответствия качества выполняемых работ разработанным на предприятии регламентам и стандартам, методов оценки эффективности системы контроля деятельности департаментов (служб, отделов) гостиничного комплекса, методики оценки соответствия гостиничного комплекса системе классификации гостиниц и иных средств размещения;
ПК-1.2. Умение применять современные технологии в гостиницах и иных средствах размещения, владеть методикой создания системы контроля в гостиницах и иных средствах размещения, анализировать проблемы в функционировании системы контроля, прогнозировать их последствия и принимать меры по исправлению и недопущению подобных ситуаций в будущем, организовывать работы по подтверждению соответствия гостиничного комплекса системе классификации гостиниц и иных средств размещения;
ПК-1.3. Навыки использования современных технологий в гостиницах и иных средствах размещения, определения форм и методов контроля бизнес-процессов департаментов (служб, отделов) гостиничного комплекса, организации службы внутреннего контроля, контроля за функционированием системы внутреннего распорядка, выполнением сотрудниками стандартов обслуживания и обеспечением качества гостиничного продукта, контроля исполнения персоналом принятых решений, соблюдения технических и санитарных условий работы структурных подразделений, выявления проблем в системе контроля гостиничного комплекса и определения уровня эффективности деятельности департаментов (служб, отделов) гостиничного комплекса.</w:t>
            </w:r>
          </w:p>
        </w:tc>
      </w:tr>
      <w:tr>
        <w:trPr/>
        <w:tc>
          <w:tcPr>
            <w:tcW w:w="2500" w:type="dxa"/>
            <w:noWrap/>
          </w:tcPr>
          <w:p>
            <w:pPr>
              <w:jc w:val="numTab"/>
              <w:ind w:left="0" w:right="0" w:firstLine="0" w:hanging="0"/>
            </w:pPr>
            <w:r>
              <w:rPr/>
              <w:t xml:space="preserve">ПК-2
Основной</w:t>
            </w:r>
          </w:p>
        </w:tc>
        <w:tc>
          <w:tcPr>
            <w:tcW w:w="2500" w:type="dxa"/>
            <w:noWrap/>
          </w:tcPr>
          <w:p>
            <w:pPr>
              <w:jc w:val="numTab"/>
              <w:ind w:left="0" w:right="0" w:firstLine="0" w:hanging="0"/>
            </w:pPr>
            <w:r>
              <w:rPr/>
              <w:t xml:space="preserve">Способность осуществлять взаимодействие с потребителями и заинтересованными сторонами в процессе обслуживания на предприятиях гостиничного сервиса</w:t>
            </w:r>
          </w:p>
        </w:tc>
        <w:tc>
          <w:tcPr>
            <w:tcW w:w="5000" w:type="dxa"/>
            <w:noWrap/>
          </w:tcPr>
          <w:p>
            <w:pPr>
              <w:jc w:val="numTab"/>
              <w:ind w:left="0" w:right="0" w:firstLine="0" w:hanging="0"/>
            </w:pPr>
            <w:r>
              <w:rPr/>
              <w:t xml:space="preserve">ПК-2.1. Знание законодательства Российской Федерации о предоставлении гостиничных услуг, основ организации деятельности гостиниц и иных средств размещения, основ межличностного и делового общения, переговоров, конфликтологии, социально-культурных норм бизнес-коммуникаций, методов взаимодействия с потребителями, партнерами и другими заинтересованными сторонами - представителями разных культур, специализированных программ, используемых в письменных коммуникациях, в том числе возможностей информационно-телекоммуникационной сети "Интернет";
ПК-2.2. Умение владеть навыками организации устных и письменных коммуникаций с потребителями, партнерами, заинтересованными сторонами, соблюдать протокол деловых встреч и этикет с учетом национальных и корпоративных особенностей собеседников, общаться на английском языке или другом иностранном языке с учетом характеристик постоянных клиентов гостиничного комплекса на уровне, обеспечивающем эффективные профессиональные коммуникации;
ПК-2.3. Навыки проведения встреч, переговоров и презентаций гостиничного продукта потребителям, партнерам и другими заинтересованным сторонам, разрешения проблемных ситуаций потребителей, партнеров, заинтересованных сторон.</w:t>
            </w:r>
          </w:p>
        </w:tc>
      </w:tr>
      <w:tr>
        <w:trPr/>
        <w:tc>
          <w:tcPr>
            <w:tcW w:w="2500" w:type="dxa"/>
            <w:noWrap/>
          </w:tcPr>
          <w:p>
            <w:pPr>
              <w:jc w:val="numTab"/>
              <w:ind w:left="0" w:right="0" w:firstLine="0" w:hanging="0"/>
            </w:pPr>
            <w:r>
              <w:rPr/>
              <w:t xml:space="preserve">ПК-3
Основной</w:t>
            </w:r>
          </w:p>
        </w:tc>
        <w:tc>
          <w:tcPr>
            <w:tcW w:w="2500" w:type="dxa"/>
            <w:noWrap/>
          </w:tcPr>
          <w:p>
            <w:pPr>
              <w:jc w:val="numTab"/>
              <w:ind w:left="0" w:right="0" w:firstLine="0" w:hanging="0"/>
            </w:pPr>
            <w:r>
              <w:rPr/>
              <w:t xml:space="preserve">Способность управлять ресурсами гостиничного предприятия и осуществлять проектную деятельность в гостиничном сервисе</w:t>
            </w:r>
          </w:p>
        </w:tc>
        <w:tc>
          <w:tcPr>
            <w:tcW w:w="5000" w:type="dxa"/>
            <w:noWrap/>
          </w:tcPr>
          <w:p>
            <w:pPr>
              <w:jc w:val="numTab"/>
              <w:ind w:left="0" w:right="0" w:firstLine="0" w:hanging="0"/>
            </w:pPr>
            <w:r>
              <w:rPr/>
              <w:t xml:space="preserve">ПК-3.1. Знание законодательства Российской Федерации о предоставлении гостиничных услуг, основ организации деятельности гостиниц и иных средств размещения, основ организации, планирования и контроля деятельности подчиненных, теории мотивации персонала и обеспечения лояльности персонала, теории межличностного и делового общения, переговоров, конфликтологии, специализированных программ, используемых в гостиничных комплексах, основ финансового, бухгалтерского и статистического учета в сфере гостиничного сервиса;
ПК-3.2. Умение владеть стратегическими и тактическими методами анализа потребности департаментов (служб, отделов) гостиничного комплекса в материальных ресурсах и персонале, осуществлять планирование и организацию деятельности департаментов (служб, отделов) гостиничного комплекса, осуществлять координацию и контроль, проводить оценку эффективности деятельности департаментов (служб, отделов) гостиничного комплекса, использовать наставничество, делегирование, коучинг и другие современные формы развития руководящего состава и ключевых сотрудников департаментов (служб, отделов) гостиничного комплекса, владеть навыками деловых и межличностных коммуникаций, проведения совещаний и собраний в трудовом коллективе, общаться на английском языке или другом иностранном языке с учетом характеристик постоянных клиентов гостиничного комплекса на уровне, обеспечивающем эффективные профессиональные коммуникации;
ПК-3.3. Навыки оценки и планирования потребностей департаментов (служб, отделов) в материальных ресурсах и персонале, планирования текущей деятельности департаментов (служб, отделов) гостиничного комплекса, формирования системы бизнес-процессов, регламентов и стандартов гостиничного комплекса, координации и контроля деятельности департаментов (служб, отделов).</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"Производственная практика (проектно-технологическая практика)"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6, 7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6 зач. ед.</w:t>
      </w:r>
      <w:br/>
      <w:r>
        <w:rPr/>
        <w:t xml:space="preserve">Продолжительность практики 4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Производственная практика</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Прохождение практики</w:t>
            </w:r>
          </w:p>
        </w:tc>
        <w:tc>
          <w:tcPr>
            <w:noWrap/>
          </w:tcPr>
          <w:p>
            <w:pPr>
              <w:jc w:val="left"/>
              <w:ind w:left="0" w:right="0" w:firstLine="0" w:hanging="0"/>
            </w:pPr>
            <w:r>
              <w:rPr/>
              <w:t xml:space="preserve">208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numPr>
          <w:ilvl w:val="0"/>
          <w:numId w:val="2"/>
        </w:numPr>
      </w:pPr>
      <w:r>
        <w:rPr/>
        <w:t xml:space="preserve">В ходе практики используются  следующие образовательные технологии:</w:t>
      </w:r>
    </w:p>
    <w:p>
      <w:pPr/>
      <w:r>
        <w:rPr/>
        <w:t xml:space="preserve">-метод анализа конкретных ситуаций,</w:t>
      </w:r>
    </w:p>
    <w:p>
      <w:pPr/>
      <w:r>
        <w:rPr/>
        <w:t xml:space="preserve">-метод инцидентов, направленный на формирование у студентов способности не только находить пути решения в сложившейся ситуации, но и рационально собирать и использовать информацию, необходимую для принятия решения,</w:t>
      </w:r>
    </w:p>
    <w:p>
      <w:pPr/>
      <w:r>
        <w:rPr/>
        <w:t xml:space="preserve">- метод дискуссии, помогающий   формировать у студентов умение формулировать и выражать свою точку зрения,</w:t>
      </w:r>
    </w:p>
    <w:p>
      <w:pPr/>
      <w:r>
        <w:rPr/>
        <w:t xml:space="preserve">- поисково-исследовательская технология обучения, позволяющая разработать предписания, средства, приемы для помощи студентам в осознании поставленных задач; позволяет находить личностно значимые способы разрешения проблемных ситуаций; научить бакалавров видеть и анализировать проблемные ситуации, вычленять проблемы и задачи;</w:t>
      </w:r>
    </w:p>
    <w:p>
      <w:pPr/>
      <w:r>
        <w:rPr/>
        <w:t xml:space="preserve">- информационно образовательная технология, позволяющая  применять в преддипломной практике  различные компьютерные программные комплексы,</w:t>
      </w:r>
    </w:p>
    <w:p>
      <w:pPr/>
      <w:r>
        <w:rPr/>
        <w:t xml:space="preserve">- интерактивный метод обучения в виде  поискового диалога и, рефлексивного анализа  действий и поступков.</w:t>
      </w:r>
    </w:p>
    <w:p>
      <w:pPr/>
      <w:r>
        <w:rPr/>
        <w:t xml:space="preserve">Активно используются интерактивные технологии обучения: встречи с практикующими специалистами, включая возможность проведения выездных занятий, творческие задания по разрешению практических ситуаций, метод проектов.</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целях обеспечения организации самостоятельной работы студента в период практики необходимо учитывать следующее.</w:t>
      </w:r>
    </w:p>
    <w:p>
      <w:pPr/>
      <w:r>
        <w:rPr/>
        <w:t xml:space="preserve">Производственная практика начинается с установочной конференции, которая организуется руководителем практики. На конференции разъясняются цель, задачи, содержание, формы организации и проведения практики, права и обязанности студента-практиканта, критерии оценки, требования к ведению отчетной документации. Руководитель практики от кафедры проводит инструктаж по технике безопасности и знакомит студентов с целями, задачами и содержанием практики, формулирует задания практики, разъясняет формы и виды отчетности (программа практики, наличие дневника, уточнение формы записей, заполнение отчетов и т.д.), дает иные рекомендации по прохождению практики.</w:t>
      </w:r>
    </w:p>
    <w:p>
      <w:pPr/>
      <w:r>
        <w:rPr/>
        <w:t xml:space="preserve">Студенты получают доступ ко всей необходимой для оформления результатов практики документации в электронном виде.</w:t>
      </w:r>
    </w:p>
    <w:p>
      <w:pPr/>
      <w:r>
        <w:rPr/>
        <w:t xml:space="preserve">Анализ итогов практики проводится на заключительной конференции. Организуют конференцию руководитель практики. На ней студенты-практиканты выступают с отчетами  о проделанной работе.</w:t>
      </w:r>
    </w:p>
    <w:p>
      <w:pPr/>
      <w:r>
        <w:rPr/>
        <w:t xml:space="preserve">Студенты, направляемые на учебную практику, обязаны:</w:t>
      </w:r>
    </w:p>
    <w:p>
      <w:pPr/>
      <w:r>
        <w:rPr/>
        <w:t xml:space="preserve">-      полностью выполнять задания, предусмотренные программой практики;</w:t>
      </w:r>
    </w:p>
    <w:p>
      <w:pPr/>
      <w:r>
        <w:rPr/>
        <w:t xml:space="preserve">-      подчиняться действующим на предприятии, в учреждении, организации правилам внутреннего распорядка;</w:t>
      </w:r>
    </w:p>
    <w:p>
      <w:pPr/>
      <w:r>
        <w:rPr/>
        <w:t xml:space="preserve">-      изучать и строго соблюдать правила охраны труда и техники безопасности;</w:t>
      </w:r>
    </w:p>
    <w:p>
      <w:pPr/>
      <w:r>
        <w:rPr/>
        <w:t xml:space="preserve">-      явиться на установочную и заключительную конференции, проводимые руководителем практики;</w:t>
      </w:r>
    </w:p>
    <w:p>
      <w:pPr/>
      <w:r>
        <w:rPr/>
        <w:t xml:space="preserve">-      нести ответственность за выполняемую работу и ее результаты в соответствии с правилами внутреннего распорядка принимающей организации;</w:t>
      </w:r>
    </w:p>
    <w:p>
      <w:pPr/>
      <w:r>
        <w:rPr/>
        <w:t xml:space="preserve">-      вести дневник-отчет, в который должен записывать выполняемую работу, необходимые статистические материалы и т.д.;</w:t>
      </w:r>
    </w:p>
    <w:p>
      <w:pPr/>
      <w:r>
        <w:rPr/>
        <w:t xml:space="preserve">-      своевременно представить руководителю практики отчет о выполнении всех заданий.</w:t>
      </w:r>
    </w:p>
    <w:p>
      <w:pPr/>
      <w:r>
        <w:rPr/>
        <w:t xml:space="preserve">По результатам освоения программы практики студенты всех форм обучения представляют руководителю практики отчет по практике не позже последнего дня прохождения практики. Студент, не выполнивший программу практики без уважительной причины или получивший неудовлетворительную оценку при защите отчета может направ­ляется на практику вторично в свободное от занятий время или представляется к отчислению как имеющий академическую задолженность в порядке, предусмотренном уставом Петрозаводского государственного университета. Студент, не прошедший практику по ува­жительной причине проходит ее в свободное от занятий время, в отдельных случаях практика может быть организована на базе Института физической культуры, спорта и туризма</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все виды практик.</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Все виды практик</w:t>
      </w:r>
    </w:p>
    <w:p>
      <w:pPr/>
      <w:r>
        <w:rPr/>
        <w:t xml:space="preserve">Работа на предприятии</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b w:val="1"/>
          <w:bCs w:val="1"/>
          <w:i w:val="1"/>
          <w:iCs w:val="1"/>
        </w:rPr>
        <w:t xml:space="preserve">Оценочное средство 2. Отчет </w:t>
      </w:r>
      <w:r>
        <w:rPr/>
        <w:t xml:space="preserve"> - документ, в котором обучающийся отражает результаты проделанной работы в рамках прохождения практики. Форма контроля, позволяющая студенту продемонстрировать обобщенные знания, умения и навыки, приобретенные за время прохождения практики.</w:t>
      </w:r>
    </w:p>
    <w:p>
      <w:pPr/>
      <w:r>
        <w:rPr/>
        <w:t xml:space="preserve"> </w:t>
      </w:r>
    </w:p>
    <w:p>
      <w:pPr/>
      <w:r>
        <w:rPr/>
        <w:t xml:space="preserve">Структура отчета представлена в Приложении 1. К отчету прикрепляется индивидуальный план работы студента на практике (Приложение 2)  и характеристика от руководителя предприятия, на котором студент проходил практику (Приложение 3)</w:t>
      </w:r>
    </w:p>
    <w:p>
      <w:pPr/>
      <w:r>
        <w:rPr/>
        <w:t xml:space="preserve"> </w:t>
      </w:r>
    </w:p>
    <w:p>
      <w:pPr/>
      <w:r>
        <w:rPr/>
        <w:t xml:space="preserve">Рекомендации по оформлению отчета.</w:t>
      </w:r>
    </w:p>
    <w:p>
      <w:pPr/>
      <w:r>
        <w:rPr>
          <w:b w:val="1"/>
          <w:bCs w:val="1"/>
        </w:rPr>
        <w:t xml:space="preserve"> </w:t>
      </w:r>
      <w:r>
        <w:rPr/>
        <w:t xml:space="preserve">Оформление – одна из важнейших стадий работы над текстом отчета. Придание соответствующей формы тексту должно соответствовать общепринятым требованиям стандарта ГОСТ 7.32-2001 «Система стандартов по информации, библиотечному и издательскому делу. Отчет о научно-исследовательской работе. Структура и правила оформления».</w:t>
      </w:r>
    </w:p>
    <w:p>
      <w:pPr/>
      <w:r>
        <w:rPr/>
        <w:t xml:space="preserve">Текст отчета</w:t>
      </w:r>
    </w:p>
    <w:p>
      <w:pPr/>
      <w:r>
        <w:rPr/>
        <w:t xml:space="preserve">Текст отчета по итогам преддипломной  практики готовят способом набора на компьютере, распечатывают на офсетной белой бумаге с одной стороны листа формата А4.</w:t>
      </w:r>
    </w:p>
    <w:p>
      <w:pPr/>
      <w:r>
        <w:rPr/>
        <w:t xml:space="preserve">Поля: сверху и снизу – 2 см, слева – 3 см, справа – 1 см.</w:t>
      </w:r>
    </w:p>
    <w:p>
      <w:pPr/>
      <w:r>
        <w:rPr/>
        <w:t xml:space="preserve">Все страницы отчета подлежат нумерации арабскими цифрами в правом верхнем углу страницы без точки в конце и без знака № . Первой страницей работы является титульный лист, который включают в общую нумерацию страниц но номер его НЕ проставляют, таким образом, номера страниц проставляются со второй страницы.</w:t>
      </w:r>
    </w:p>
    <w:p>
      <w:pPr/>
      <w:r>
        <w:rPr/>
        <w:t xml:space="preserve">Междустрочный интервал 1,5 (до 30 строк на странице).</w:t>
      </w:r>
    </w:p>
    <w:p>
      <w:pPr/>
      <w:r>
        <w:rPr/>
        <w:t xml:space="preserve">Абзацный отступ («красная строка») должны по всему тексту составлять 1,5 см.</w:t>
      </w:r>
    </w:p>
    <w:p>
      <w:pPr/>
      <w:r>
        <w:rPr/>
        <w:t xml:space="preserve">Весь текст отчета должен быть набран в редакторе Microsoft Word одним шрифтом – Times New Roman, кегль (размер) 14 (высота шрифта 1,8 мм).</w:t>
      </w:r>
    </w:p>
    <w:p>
      <w:pPr/>
      <w:r>
        <w:rPr/>
        <w:t xml:space="preserve">Шрифт печати должен быть четким с одинаковой плотностью текста (в редких случаях, при необходимости, допустимо уплотнение шрифта в отдельных словах или строках не более чем на 0,2 пт), черного цвета средней жирности.</w:t>
      </w:r>
    </w:p>
    <w:p>
      <w:pPr/>
      <w:r>
        <w:rPr/>
        <w:t xml:space="preserve">Выравнивание текста работы должно быть выполнено «по ширине», т.е. текст должен равномерно распределяться между левым и правым полями страницы.</w:t>
      </w:r>
    </w:p>
    <w:p>
      <w:pPr/>
      <w:r>
        <w:rPr/>
        <w:t xml:space="preserve">В работе возможно использование функции автоматического переноса слов, при этом следует учитывать, что Word не всегда правильно переносит слова в соответствии с правилами русского языка, и автопереносы следует тщательно выверять.</w:t>
      </w:r>
    </w:p>
    <w:p>
      <w:pPr/>
      <w:r>
        <w:rPr/>
        <w:t xml:space="preserve">Названия разделов, глав, пунктов работы должны быть оформлены полужирным шрифтом, кегль которого должен быть таким же, как и основной текст.</w:t>
      </w:r>
    </w:p>
    <w:p>
      <w:pPr/>
      <w:r>
        <w:rPr/>
        <w:t xml:space="preserve">Каждую новую структурную часть отчета начинают с новой страницы.</w:t>
      </w:r>
    </w:p>
    <w:p>
      <w:pPr/>
      <w:r>
        <w:rPr/>
        <w:t xml:space="preserve">Рекомендуется не допускать «висящих строк», когда конечные несколько слов абзаца переходят на следующую страницу. Также недопустимы в качестве «висящих строк» названия заголовков, текст к которым идет на следующей странице.</w:t>
      </w:r>
    </w:p>
    <w:p>
      <w:pPr/>
      <w:r>
        <w:rPr/>
        <w:t xml:space="preserve">Текстовой материал отчета может содержать числительные, буквенные обозначения, цитаты, ссылки, перечисления и т.п.</w:t>
      </w:r>
    </w:p>
    <w:p>
      <w:pPr/>
      <w:r>
        <w:rPr/>
        <w:t xml:space="preserve">Количественные и порядковые числительные записываются арабскими цифрами. Если при числительном даются в сокращенном обозначении единицы величин (единицы меры, длины, массы, объема и т.п.), то после их сокращений точка не ставится, например: 28 кг, 5 л, 8 см и т.д. При перечислении однородных величин и отношений сокращенное обозначение единицы величины ставится только после последнего числа. Римскими цифрами записываются порядковые числительные в отношении веков, столетий, разрядов и рангов, например: IV курс, XX век (не: ХХ-й век).</w:t>
      </w:r>
    </w:p>
    <w:p>
      <w:pPr/>
      <w:r>
        <w:rPr/>
        <w:t xml:space="preserve">Сокращения и аббревиатуры в отчете рекомендуется использовать только те, которые:</w:t>
      </w:r>
    </w:p>
    <w:p>
      <w:pPr/>
      <w:r>
        <w:rPr/>
        <w:t xml:space="preserve"> – являются общепринятыми; – приняты в российских и международных стандартах (например, стандартные обозначения категорий номеров и типов размещения в отелях, типов питания и т.п.);</w:t>
      </w:r>
    </w:p>
    <w:p>
      <w:pPr/>
      <w:r>
        <w:rPr/>
        <w:t xml:space="preserve"> – принятые аббревиатуры официальных учреждений, организаций, стран мира и международных организаций, в т.ч. номенклатурные обозначения юридических статусов предприятий (например: ООО «Инвест», ИЭП ННГУ, ЮНВТО);</w:t>
      </w:r>
    </w:p>
    <w:p>
      <w:pPr/>
      <w:r>
        <w:rPr/>
        <w:t xml:space="preserve"> – утверждены для размерностей в Международной системе единиц СИ;</w:t>
      </w:r>
    </w:p>
    <w:p>
      <w:pPr/>
      <w:r>
        <w:rPr/>
        <w:t xml:space="preserve">– используются для указания монет и денежных единиц;</w:t>
      </w:r>
    </w:p>
    <w:p>
      <w:pPr/>
      <w:r>
        <w:rPr/>
        <w:t xml:space="preserve">– используются для сокращенного обозначения отдельных профессий, научных степеней и званий непосредственно перед фамилиями их обладателей (например: инж. – инженер, акад. – академик, проф. – профессор, доц. – доцент, д.э.н. – доктор экономических наук, к.э.н. – кандидат экономических наук и т.п.);</w:t>
      </w:r>
    </w:p>
    <w:p>
      <w:pPr/>
      <w:r>
        <w:rPr/>
        <w:t xml:space="preserve"> – являются устойчивыми словосочетаниями, в которых аббревиатура (как правило, иностранного происхождения) используется одновременно со словом (обычно перевод последнего слова), которое входит в данную аббревиатуру (например, DVD-диск, PIN-код, язык HTML, IP-протокол, SMS-сообщение, VIP-персона, ГИС-система, ГИС-технологии и т.п.).</w:t>
      </w:r>
    </w:p>
    <w:p>
      <w:pPr/>
      <w:r>
        <w:rPr/>
        <w:t xml:space="preserve">Общий язык и стиль оформления отчета</w:t>
      </w:r>
    </w:p>
    <w:p>
      <w:pPr/>
      <w:r>
        <w:rPr/>
        <w:t xml:space="preserve">Стиль изложения отчета – это стиль безличного монолога, лишенного эмоциональной и субъективной окраски. Не принято использовать местоимение первого лица единственного числа «Я», точку зрения автора обычно отражает местоимение «МЫ», например: «нами установлено», «мы приходим к выводу», и т.д. Благодаря такому стилю создается впечатление, что мнение автора как бы подкрепляется мнением стоящих за ним людей – научного руководителя, предшественников, коллектива. Кроме того, такая подача текста выглядит скромнее, позволяя автору не выдвигать себя на первый план. Для того чтобы разнообразить текст, конструкции с местоимением «мы» могут заменяться неопределенно-личными предложениями.</w:t>
      </w:r>
    </w:p>
    <w:p>
      <w:pPr/>
      <w:r>
        <w:rPr/>
        <w:t xml:space="preserve">Пример: Неправильно: Я установил, что на понятие «туризм» в научной литературе нет однозначного взгляда. Мне кажется, что различные ученые никогда не смогут прийти к единому мнению по этому вопросу. Поэтому я, обобщив все имеющиеся определения данного термина, предлагаю собственную универсальную его трактовку, наиболее соответствующую теме моей ВКР.</w:t>
      </w:r>
    </w:p>
    <w:p>
      <w:pPr/>
      <w:r>
        <w:rPr/>
        <w:t xml:space="preserve">Правильно: Как позволило установить проведенное нами изучение научной литературы, относительно понятия «туризм» в науке нет однозначного взгляда. Представляется, что различные ученые и представляемые ими научные школы никогда не смогут прийти к единому мнению по данному вопросу. Поэтому автор работы, обобщив все имеющиеся определения данного термина, предлагает собственную универсальную его трактовку, наиболее соответствующую тематике исследования.</w:t>
      </w:r>
    </w:p>
    <w:p>
      <w:pPr/>
      <w:r>
        <w:rPr/>
        <w:t xml:space="preserve">Стиль и грамотность служат показателями как общей культуры студента-практиканта, так и степени его проникновения в суть проблемы. Поэтому добиться максимально возможного стилистического уровня и лексической грамотности текста остается обязательной задачей каждого студента.</w:t>
      </w:r>
    </w:p>
    <w:p>
      <w:pPr/>
      <w:r>
        <w:rPr/>
        <w:t xml:space="preserve">Оформление рисунков</w:t>
      </w:r>
    </w:p>
    <w:p>
      <w:pPr/>
      <w:r>
        <w:rPr/>
        <w:t xml:space="preserve">Отчет может содержать иллюстрации – графики, схемы, модели, диаграммы, фигу-ры, карты, фотографии и т.п. Все эти графические материалы обозначаются собирательным термином «Рисунок».</w:t>
      </w:r>
    </w:p>
    <w:p>
      <w:pPr/>
      <w:r>
        <w:rPr/>
        <w:t xml:space="preserve">Размещают рисунок в тексте отчета после того абзаца, в котором имеется ссылка на него. Если рисунок не помещается на той странице, где на него сделана ссылка, то он размещается на следующей странице.</w:t>
      </w:r>
    </w:p>
    <w:p>
      <w:pPr/>
      <w:r>
        <w:rPr/>
        <w:t xml:space="preserve">Каждый рисунок обязательно должен иметь порядковый номер и собственное название, которые размещаются ниже самого рисунка. Название рисунка должно четко отражать и пояснять его содержание.</w:t>
      </w:r>
    </w:p>
    <w:p>
      <w:pPr/>
      <w:r>
        <w:rPr/>
        <w:t xml:space="preserve">Номер рисунка состоит из двух цифр, разделенных точкой – номера раздела и порядкового номера иллюстрации в этом разделе. Например: Рис. 1.2 (второй рисунок первого раздела). Если в разделе или во всей работе представлена лишь одна иллюстрация, то ее также нумеруют по указанному принципу (т.е. Рис. 1.1).</w:t>
      </w:r>
    </w:p>
    <w:p>
      <w:pPr/>
      <w:r>
        <w:rPr/>
        <w:t xml:space="preserve">Оформление таблиц</w:t>
      </w:r>
    </w:p>
    <w:p>
      <w:pPr/>
      <w:r>
        <w:rPr/>
        <w:t xml:space="preserve">Статистический и иной цифровой материал, или при необходимости в сопоставлении определенных показателей, а также определенные текстовые сравнения и характеристики, могут быть оформлены в виде таблиц.</w:t>
      </w:r>
    </w:p>
    <w:p>
      <w:pPr/>
      <w:r>
        <w:rPr/>
        <w:t xml:space="preserve">Оформление таблицы в тексте отчета начинают со слова «Таблица» (не сокращая его) и ее порядкового номера, которые размещаются выравниванием по правому краю. Номер таблицы состоит из двух цифр, разделенных точкой – номера раздела и порядкового номера самой таблицы в этом разделе. Например: Таблица 1.2 (вторая таблица первого раздела). Если в разделе или во всей работе представлена лишь одна таблица, то ее также нумеруют по указанному принципу (т.е. Таблица 1.1).</w:t>
      </w:r>
    </w:p>
    <w:p>
      <w:pPr/>
      <w:r>
        <w:rPr/>
        <w:t xml:space="preserve">Каждая таблица должна иметь название, которое размещают над ней и печатают симметрично к тексту.</w:t>
      </w:r>
    </w:p>
    <w:p>
      <w:pPr/>
      <w:r>
        <w:rPr/>
        <w:t xml:space="preserve">В таблицах рекомендуется использовать одинарный межстрочный интервал, размер шрифта (кегль) – от 12 до 14, в отдельных случаях в объемных таблицах допустимо снижение кегля до 10.</w:t>
      </w:r>
    </w:p>
    <w:p>
      <w:pPr/>
      <w:r>
        <w:rPr/>
        <w:t xml:space="preserve">Таблицу размещают после первого о ней упоминания (со ссылкой к ней) в тексте. Таблицу с большим количеством строк можно переносить на другой лист.</w:t>
      </w:r>
    </w:p>
    <w:p>
      <w:pPr/>
      <w:r>
        <w:rPr/>
        <w:t xml:space="preserve">Ссылки на источники информации</w:t>
      </w:r>
      <w:r>
        <w:rPr>
          <w:b w:val="1"/>
          <w:bCs w:val="1"/>
        </w:rPr>
        <w:t xml:space="preserve">,</w:t>
      </w:r>
      <w:r>
        <w:rPr/>
        <w:t xml:space="preserve"> из которых были заимствованы те или иные фразы, предложения, результаты и прочее, оформляются в виде цифры, заключенной в квадратные скобки (например, [2] если ссылка на один источник, [3–6] или [3, 5, 6] – если ссылка одновременно на несколько источников), где значение цифры – это порядковый номер соответствующего информационного источника в списке литературы. Список источников оформляется в соответствии с ГОСТ 7.1-2003 «Библиографическая запись».</w:t>
      </w:r>
    </w:p>
    <w:p>
      <w:pPr/>
      <w:r>
        <w:rPr/>
        <w:t xml:space="preserve">Ссылки на источники, заимствованные из сети Интернет оформляются как изданные в обычной печатной версии. В описании источников, имеющих и печатную, и электронную версии (на CD-дисках или в сети Интернет) представления, приоритет в списке источников ВКР отдается их печатным версиям. Те же источники, которые имеют только электронное представление, приводятся по фамилии автора и/или названию публикации в общей алфавитной последовательности, и сопровождаются точной и полной адресной Интернет-ссылкой к данному источнику.</w:t>
      </w:r>
    </w:p>
    <w:p>
      <w:pPr/>
      <w:r>
        <w:rPr/>
        <w:t xml:space="preserve">Приложения к отчету</w:t>
      </w:r>
    </w:p>
    <w:p>
      <w:pPr/>
      <w:r>
        <w:rPr/>
        <w:t xml:space="preserve">Вспомогательные или дополнительные материалы, которые загромождают текст основной части отчета (объемные таблицы, рисунки размером более половины страницы, текстовые фрагменты, не содержащие принципиальных положений и новизны и пр.), помещают в </w:t>
      </w:r>
      <w:r>
        <w:rPr>
          <w:i w:val="1"/>
          <w:iCs w:val="1"/>
        </w:rPr>
        <w:t xml:space="preserve">приложении к отчету. </w:t>
      </w:r>
      <w:r>
        <w:rPr/>
        <w:t xml:space="preserve">Приложения помещаются в конце отчета, после списка источников.</w:t>
      </w:r>
    </w:p>
    <w:p>
      <w:pPr/>
      <w:r>
        <w:rPr/>
        <w:t xml:space="preserve">Главная функция приложений – дополнительно конкретизировать и иллюстрировать содержащиеся в основном тексте отчета положения, подтверждать собранные в ходе преддипломной  практики статистические данные, сформированные базы данных и т.п.</w:t>
      </w:r>
    </w:p>
    <w:p>
      <w:pPr/>
      <w:r>
        <w:rPr/>
        <w:t xml:space="preserve">По форме приложения могут представлять собой текст, таблицы, графики, карты, фотографии, электронные документы, любые иные материалы.</w:t>
      </w:r>
    </w:p>
    <w:p>
      <w:pPr/>
      <w:r>
        <w:rPr/>
        <w:t xml:space="preserve">По содержанию приложения очень разнообразны: копии подлинных документов, выдержки из отчетных материалов, производственные планы и протоколы, отдельные положения из инструкций и правил, ранее неопубликованные тексты, переписка и т.п. Также в приложение выносятся самостоятельно составленные автором отчета объемные таблицы, иллюстрации. Рекомендуется помещать в приложение исходные статистические данные.</w:t>
      </w:r>
    </w:p>
    <w:p>
      <w:pPr/>
      <w:r>
        <w:rPr/>
        <w:t xml:space="preserve">Приложения также как и текст работы, должны быть внутренне логично и последовательно организованы.</w:t>
      </w:r>
    </w:p>
    <w:p>
      <w:pPr/>
      <w:r>
        <w:rPr/>
        <w:t xml:space="preserve">Каждое приложение должно начинаться с нового листа (страницы) с указанием в правом верхнем углу слова «Приложение» и иметь тематический заголовок, который размещается на следующей строке по центру страницы. При наличии более одного приложения они нумеруются арабскими цифрами (без знака №), например: «Приложение 1», «Приложение 2» и т.д. Возможно и внутреннее структурирование приложений, для которых также характерна последовательная нумерация (например, «Приложение 1.1», «Приложение 1.2» и т.д.). Нумерация страниц, на которых даются приложения, должна продолжать общую нумерацию страниц основного текста отчета.</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numPr>
          <w:ilvl w:val="0"/>
          <w:numId w:val="3"/>
        </w:numPr>
      </w:pPr>
      <w:r>
        <w:rPr/>
        <w:t xml:space="preserve">Амирова, З.Б. Инфраструктура туризма и гостеприимства : учебное пособие / З.Б. Амирова ; Министерство транспорта Российской Федерации, Федеральное бюджетное образовательное учреждение высшего профессионального образования (ФБОУ ВПО) «Московская государственная академия водного транспорта», Кафедра «Гостиничного и туристического бизнеса». - Москва : Альтаир : МГАВТ, 2014. - 85 с. : табл., схем. - Библиогр. в кн. ; То же [Электронный ресурс]. - URL: </w:t>
      </w:r>
      <w:hyperlink r:id="rId7" w:history="1">
        <w:r>
          <w:rPr/>
          <w:t xml:space="preserve">http://biblioclub.ru/index.php?page=book&amp;id=429691</w:t>
        </w:r>
      </w:hyperlink>
    </w:p>
    <w:p>
      <w:pPr>
        <w:numPr>
          <w:ilvl w:val="0"/>
          <w:numId w:val="3"/>
        </w:numPr>
      </w:pPr>
      <w:r>
        <w:rPr/>
        <w:t xml:space="preserve">Гаврилова, С.В. Организация туристического и гостиничного бизнеса : учебно-методический комплекс / С.В. Гаврилова, А.Г. Томская, А.В. Дмитриев. - Москва : Евразийский открытый институт, 2011. - 357 с. - ISBN 978-5-374-00274-4 ; То же [Электронный ресурс]. - URL: </w:t>
      </w:r>
      <w:hyperlink r:id="rId8" w:history="1">
        <w:r>
          <w:rPr/>
          <w:t xml:space="preserve">http://biblioclub.ru/index.php?page=book&amp;id=90828</w:t>
        </w:r>
      </w:hyperlink>
    </w:p>
    <w:p>
      <w:pPr>
        <w:numPr>
          <w:ilvl w:val="0"/>
          <w:numId w:val="3"/>
        </w:numPr>
      </w:pPr>
      <w:r>
        <w:rPr/>
        <w:t xml:space="preserve">Зайцева, Н. А. Менеджмент в сфере услуг: туризм и гостиничное дело: учебное пособие для студентов вузов, обучающихся по направлениям подготовки «Туризм», «Гостиничное дело» и «Сервис» / Н. А. Зайцева. - Моса: Академия, 2013. - 287 с.</w:t>
      </w:r>
    </w:p>
    <w:p>
      <w:pPr>
        <w:numPr>
          <w:ilvl w:val="0"/>
          <w:numId w:val="3"/>
        </w:numPr>
      </w:pPr>
      <w:r>
        <w:rPr/>
        <w:t xml:space="preserve">Маркетинг туризма: учебное пособие для обучения студентов вузов по направлениям подготовки "Туризм", "Гостиничное дело" / И. В. Гончарова [и др.]. - Москва, 2014. - 217 с.</w:t>
      </w:r>
    </w:p>
    <w:p>
      <w:pPr>
        <w:numPr>
          <w:ilvl w:val="0"/>
          <w:numId w:val="3"/>
        </w:numPr>
      </w:pPr>
      <w:r>
        <w:rPr/>
        <w:t xml:space="preserve">Медлик, С. Гостиничный бизнес : учебник / С. Медлик, Х. Инграм ; пер. А.В. Павлов. - Москва : Юнити-Дана, 2015. - 240 с. - (Зарубежный учебник). - ISBN 5-238-00792-2 ; То же [Электронный ресурс]. - URL: </w:t>
      </w:r>
      <w:hyperlink r:id="rId9" w:history="1">
        <w:r>
          <w:rPr/>
          <w:t xml:space="preserve">http://biblioclub.ru/index.php?page=book&amp;id=436731</w:t>
        </w:r>
      </w:hyperlink>
    </w:p>
    <w:p>
      <w:pPr>
        <w:numPr>
          <w:ilvl w:val="0"/>
          <w:numId w:val="3"/>
        </w:numPr>
      </w:pPr>
      <w:r>
        <w:rPr/>
        <w:t xml:space="preserve">Организация гостиничного бизнеса : учебное пособие / В.С. Варивода, Ю.М. Елфимова, К.Ю. Михайлова, Я.А. Карнаухова ; Министерство сельского хозяйства Российской Федерации, Федеральное государственное бюджетное образовательное учреждение высшего профессионального образования Ставропольский государственный аграрный университет. - Ставрополь : Ставропольский государственный аграрный университет, 2015. - 167 с. : табл., граф., схем. - Библиогр. в кн. ; То же [Электронный ресурс]. - URL: </w:t>
      </w:r>
      <w:hyperlink r:id="rId10" w:history="1">
        <w:r>
          <w:rPr/>
          <w:t xml:space="preserve">http://biblioclub.ru/index.php?page=book&amp;id=438785</w:t>
        </w:r>
      </w:hyperlink>
    </w:p>
    <w:p>
      <w:pPr>
        <w:numPr>
          <w:ilvl w:val="0"/>
          <w:numId w:val="3"/>
        </w:numPr>
      </w:pPr>
      <w:r>
        <w:rPr/>
        <w:t xml:space="preserve">Райли, М. Управление персоналом в гостеприимстве : учебник / М. Райли. - Москва : Юнити-Дана, 2015. - 191 с. : ил. - (Зарубежный учебник). - ISBN 5-238-00873-2 ; То же [Электронный ресурс]. - URL: </w:t>
      </w:r>
      <w:hyperlink r:id="rId11" w:history="1">
        <w:r>
          <w:rPr/>
          <w:t xml:space="preserve">http://biblioclub.ru/index.php?page=book&amp;id=114557</w:t>
        </w:r>
      </w:hyperlink>
    </w:p>
    <w:p>
      <w:pPr/>
      <w:r>
        <w:rPr/>
        <w:t xml:space="preserve">Уокер, Д. Управление гостеприимством: Вводный курс : учебник / Д. Уокер ; пер. В.Н. Егоров. - Москва : Юнити-Дана, 2012. - 880 с. - (Зарубежный учебник). - ISBN 5-238-00990-9 ; То же [Электронный ресурс]. - URL: </w:t>
      </w:r>
      <w:hyperlink r:id="rId12" w:history="1">
        <w:r>
          <w:rPr/>
          <w:t xml:space="preserve">http://biblioclub.ru/index.php?page=book&amp;id=118745</w:t>
        </w:r>
      </w:hyperlink>
    </w:p>
    <w:p>
      <w:pPr>
        <w:jc w:val="numTab"/>
        <w:spacing w:before="280" w:after="280"/>
      </w:pPr>
      <w:r>
        <w:rPr/>
        <w:t xml:space="preserve">14.2. Дополнительная литература:</w:t>
      </w:r>
    </w:p>
    <w:p>
      <w:pPr>
        <w:numPr>
          <w:ilvl w:val="0"/>
          <w:numId w:val="4"/>
        </w:numPr>
      </w:pPr>
      <w:r>
        <w:rPr/>
        <w:t xml:space="preserve">Афонин А.В. Инновационный менеджмент. – М.: «Гардарики», 2012. – 224 с.</w:t>
      </w:r>
    </w:p>
    <w:p>
      <w:pPr>
        <w:numPr>
          <w:ilvl w:val="0"/>
          <w:numId w:val="4"/>
        </w:numPr>
      </w:pPr>
      <w:r>
        <w:rPr/>
        <w:t xml:space="preserve">Бизнес-планирование в индустрии гостеприимства: учебное пособие / М. В. Виноградова [и др.]. - Москва: Дашков и К°, 2008. - 281 с.</w:t>
      </w:r>
    </w:p>
    <w:p>
      <w:pPr>
        <w:numPr>
          <w:ilvl w:val="0"/>
          <w:numId w:val="4"/>
        </w:numPr>
      </w:pPr>
      <w:r>
        <w:rPr/>
        <w:t xml:space="preserve">Васильев Г.А., Лебедев О.А. Поведение потребителей. – М.: ЮНИТИ –ДАНА, 2013. – 239 с.</w:t>
      </w:r>
    </w:p>
    <w:p>
      <w:pPr>
        <w:numPr>
          <w:ilvl w:val="0"/>
          <w:numId w:val="4"/>
        </w:numPr>
      </w:pPr>
      <w:r>
        <w:rPr/>
        <w:t xml:space="preserve">Гуляев В.Д. Организация туристической деятельности. Учебное пособие. – М.: Нолидж, 2010 . -150 с.</w:t>
      </w:r>
    </w:p>
    <w:p>
      <w:pPr>
        <w:numPr>
          <w:ilvl w:val="0"/>
          <w:numId w:val="4"/>
        </w:numPr>
      </w:pPr>
      <w:r>
        <w:rPr/>
        <w:t xml:space="preserve">Ехина М.А. Организация обслуживания в гостиницах. – М.: Академия, 2010. – 208с.</w:t>
      </w:r>
    </w:p>
    <w:p>
      <w:pPr>
        <w:numPr>
          <w:ilvl w:val="0"/>
          <w:numId w:val="4"/>
        </w:numPr>
      </w:pPr>
      <w:r>
        <w:rPr/>
        <w:t xml:space="preserve">Кнышова, Е. Н. Менеджмент гостеприимства: для студентов вузов / Е. Н. Кнышова, Ю. М. Белозерова. - Москва : ИД "Форум" : ИНФРА-М, 2013. - 511 с.</w:t>
      </w:r>
    </w:p>
    <w:p>
      <w:pPr>
        <w:numPr>
          <w:ilvl w:val="0"/>
          <w:numId w:val="4"/>
        </w:numPr>
      </w:pPr>
      <w:r>
        <w:rPr/>
        <w:t xml:space="preserve">Конев, И. П. Бизнес-планирование в туризме и гостеприимстве. Маркетинг и технико-экономическое обоснование культурного туризма: учебное пособие для студентов кафедры туризма / И. П. Конев; М-во образования и науки Рос. Федерации, Федер. гос. бюджет. образоват. учреждение высш. проф. образования Петрозав. гос. ун-т. - Петрозаводск: Издательство ПетрГУ, 2013.</w:t>
      </w:r>
    </w:p>
    <w:p>
      <w:pPr>
        <w:numPr>
          <w:ilvl w:val="0"/>
          <w:numId w:val="4"/>
        </w:numPr>
      </w:pPr>
      <w:r>
        <w:rPr/>
        <w:t xml:space="preserve">Кусков А. С. Гостиничное дело: учебное пособие. – М.: Дашков и К, 2010. – 328 с.</w:t>
      </w:r>
    </w:p>
    <w:p>
      <w:pPr>
        <w:numPr>
          <w:ilvl w:val="0"/>
          <w:numId w:val="4"/>
        </w:numPr>
      </w:pPr>
      <w:r>
        <w:rPr/>
        <w:t xml:space="preserve">Малахова Н.Н., Ушаков Д.С. Инновации в туризме и сервисе. –Ростов н/Д: ИЦ «МарТ»; Феникс, 2010. – 244 с.</w:t>
      </w:r>
    </w:p>
    <w:p>
      <w:pPr>
        <w:numPr>
          <w:ilvl w:val="0"/>
          <w:numId w:val="4"/>
        </w:numPr>
      </w:pPr>
      <w:r>
        <w:rPr/>
        <w:t xml:space="preserve">Менеджмент туризма: учебник для обучения студентов вузов по направлению подготовки «Менеджмент», (квалификация (степень) «бакалавр») / А. Д. Чудновский [и др.]. - Москва, 2014. - 576 с. Пищулов, В. М. Менеджмент в социально-культурном сервисе и туризме : учеб. пособие для студентов вузов, обучающихся по специальности "Социально-культурный сервис и туризм" / В. М. Пищулов. - Москва : Академия, 2010. - 239 с.</w:t>
      </w:r>
    </w:p>
    <w:p>
      <w:pPr>
        <w:numPr>
          <w:ilvl w:val="0"/>
          <w:numId w:val="4"/>
        </w:numPr>
      </w:pPr>
      <w:r>
        <w:rPr/>
        <w:t xml:space="preserve">Правовое обеспечение туризма и гостеприимства: Учебник / А.И. Тыщенко. - 2-e изд. - М.: ИЦ РИОР: НИЦ ИНФРА-М, 2014. - 224 с</w:t>
      </w:r>
    </w:p>
    <w:p>
      <w:pPr>
        <w:numPr>
          <w:ilvl w:val="0"/>
          <w:numId w:val="4"/>
        </w:numPr>
      </w:pPr>
      <w:r>
        <w:rPr/>
        <w:t xml:space="preserve">Суслова И.А. Формирование имиджа гостиницы // Маркетинг услуг. 2005. № 3. С. 47-53</w:t>
      </w:r>
    </w:p>
    <w:p>
      <w:pPr>
        <w:numPr>
          <w:ilvl w:val="0"/>
          <w:numId w:val="4"/>
        </w:numPr>
      </w:pPr>
      <w:r>
        <w:rPr/>
        <w:t xml:space="preserve">Туризм и гостиничное хозяйство. Под. Ред. А.Д. Чудновского – М. ЭКМОС, 2008 – 346 с.</w:t>
      </w:r>
    </w:p>
    <w:p>
      <w:pPr>
        <w:numPr>
          <w:ilvl w:val="0"/>
          <w:numId w:val="4"/>
        </w:numPr>
      </w:pPr>
      <w:r>
        <w:rPr/>
        <w:t xml:space="preserve">Туризм, гостеприимство, сервис: Словарь-справочник / Под ред. Л.П. Воронковой . - М. : Аспект Пресс, 2002. - 367с.</w:t>
      </w:r>
    </w:p>
    <w:p>
      <w:pPr>
        <w:numPr>
          <w:ilvl w:val="0"/>
          <w:numId w:val="4"/>
        </w:numPr>
      </w:pPr>
      <w:r>
        <w:rPr/>
        <w:t xml:space="preserve">Усов В.В. Организация обслуживания в ресторанах. – М.: Высшая школа, 2012 – 415 с.</w:t>
      </w:r>
    </w:p>
    <w:p>
      <w:pPr>
        <w:numPr>
          <w:ilvl w:val="0"/>
          <w:numId w:val="4"/>
        </w:numPr>
      </w:pPr>
      <w:r>
        <w:rPr/>
        <w:t xml:space="preserve">Федцов, В. Г. Культура гостинично-туристского сервиса: учебное пособие для вузов/ В. Г. Федцов. - 2-е изд.. - Ростов н/Д: Феникс, 2008. - 503 с</w:t>
      </w:r>
    </w:p>
    <w:p>
      <w:pPr>
        <w:numPr>
          <w:ilvl w:val="0"/>
          <w:numId w:val="4"/>
        </w:numPr>
      </w:pPr>
      <w:r>
        <w:rPr/>
        <w:t xml:space="preserve">Ходорков Л.Ф. Мировое гостиничное хозяйство. – М.: ВКШ по иностранному туризму, 2009 – 324 с.</w:t>
      </w:r>
    </w:p>
    <w:p>
      <w:pPr>
        <w:jc w:val="numTab"/>
        <w:spacing w:before="280" w:after="280"/>
      </w:pPr>
      <w:r>
        <w:rPr/>
        <w:t xml:space="preserve">14.3. Программное обеспечение и Интернет-ресурсы:</w:t>
      </w:r>
    </w:p>
    <w:p>
      <w:pPr>
        <w:numPr>
          <w:ilvl w:val="0"/>
          <w:numId w:val="5"/>
        </w:numPr>
      </w:pPr>
      <w:r>
        <w:rPr/>
        <w:t xml:space="preserve"> Пакет Microsoft Office 2007-2010 (Word, Excel, Power Point)</w:t>
      </w:r>
    </w:p>
    <w:p>
      <w:pPr>
        <w:numPr>
          <w:ilvl w:val="0"/>
          <w:numId w:val="5"/>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5"/>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В качестве вспомогательных Интернет-ресурсов по дисциплине используются:</w:t>
      </w:r>
    </w:p>
    <w:p>
      <w:pPr>
        <w:numPr>
          <w:ilvl w:val="0"/>
          <w:numId w:val="6"/>
        </w:numPr>
      </w:pPr>
      <w:r>
        <w:rPr/>
        <w:t xml:space="preserve">Библиотека Петрозаводского государственного университета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6"/>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6"/>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6"/>
        </w:numPr>
      </w:pPr>
      <w:r>
        <w:rPr/>
        <w:t xml:space="preserve">Официальный интернет-портал Республики Карелия «Карелия официальная» [Электронный ресурс] – Режим доступа. -</w:t>
      </w:r>
      <w:r>
        <w:rPr/>
        <w:t xml:space="preserve">http</w:t>
      </w:r>
      <w:r>
        <w:rPr/>
        <w:t xml:space="preserve">://</w:t>
      </w:r>
      <w:r>
        <w:rPr/>
        <w:t xml:space="preserve">www</w:t>
      </w:r>
      <w:r>
        <w:rPr/>
        <w:t xml:space="preserve">.</w:t>
      </w:r>
      <w:r>
        <w:rPr/>
        <w:t xml:space="preserve">gov</w:t>
      </w:r>
      <w:r>
        <w:rPr/>
        <w:t xml:space="preserve">.</w:t>
      </w:r>
      <w:r>
        <w:rPr/>
        <w:t xml:space="preserve">karelia</w:t>
      </w:r>
      <w:r>
        <w:rPr/>
        <w:t xml:space="preserve">.</w:t>
      </w:r>
      <w:r>
        <w:rPr/>
        <w:t xml:space="preserve">ru</w:t>
      </w:r>
      <w:r>
        <w:rPr/>
        <w:t xml:space="preserve">/</w:t>
      </w:r>
      <w:r>
        <w:rPr/>
        <w:t xml:space="preserve">Power</w:t>
      </w:r>
      <w:r>
        <w:rPr/>
        <w:t xml:space="preserve">/</w:t>
      </w:r>
      <w:r>
        <w:rPr/>
        <w:t xml:space="preserve">struct</w:t>
      </w:r>
      <w:r>
        <w:rPr/>
        <w:t xml:space="preserve">.</w:t>
      </w:r>
      <w:r>
        <w:rPr/>
        <w:t xml:space="preserve">html</w:t>
      </w:r>
    </w:p>
    <w:p>
      <w:pPr>
        <w:numPr>
          <w:ilvl w:val="0"/>
          <w:numId w:val="6"/>
        </w:numPr>
      </w:pPr>
      <w:r>
        <w:rPr/>
        <w:t xml:space="preserve">Сайт Российского Союза Туриндустрии (РСТ) [Электронный ресурс] – Режим доступа.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6"/>
        </w:numPr>
      </w:pPr>
      <w:r>
        <w:rPr/>
        <w:t xml:space="preserve">Электронная библиотечная система «Университетская библиотека онлайн»: </w:t>
      </w:r>
      <w:r>
        <w:rPr/>
        <w:t xml:space="preserve">URL</w:t>
      </w:r>
      <w:r>
        <w:rPr/>
        <w:t xml:space="preserve">: </w:t>
      </w:r>
      <w:hyperlink r:id="rId13" w:history="1">
        <w:r>
          <w:rPr/>
          <w:t xml:space="preserve">http://biblioclub.ru/</w:t>
        </w:r>
      </w:hyperlink>
    </w:p>
    <w:p>
      <w:pPr>
        <w:numPr>
          <w:ilvl w:val="0"/>
          <w:numId w:val="7"/>
        </w:numPr>
      </w:pPr>
      <w:r>
        <w:rPr/>
        <w:t xml:space="preserve">Электронная библиотечная система «Университетская библиотека онлайн»: </w:t>
      </w:r>
      <w:r>
        <w:rPr/>
        <w:t xml:space="preserve">URL</w:t>
      </w:r>
      <w:r>
        <w:rPr/>
        <w:t xml:space="preserve">: </w:t>
      </w:r>
      <w:hyperlink r:id="rId13" w:history="1">
        <w:r>
          <w:rPr/>
          <w:t xml:space="preserve">http://biblioclub.ru/</w:t>
        </w:r>
      </w:hyperlink>
    </w:p>
    <w:p>
      <w:pPr>
        <w:numPr>
          <w:ilvl w:val="0"/>
          <w:numId w:val="7"/>
        </w:numPr>
      </w:pPr>
      <w:r>
        <w:rPr/>
        <w:t xml:space="preserve">Искусство гостеприимства. Медиа-ресурс для владельцев, управляющих и специалистов гостиничного бизнеса [Электронный ресурс]. – Режим доступа: </w:t>
      </w:r>
      <w:hyperlink r:id="rId14" w:history="1">
        <w:r>
          <w:rPr/>
          <w:t xml:space="preserve">http://www.hotelexecutive.ru</w:t>
        </w:r>
      </w:hyperlink>
      <w:r>
        <w:rPr/>
        <w:t xml:space="preserve">.</w:t>
      </w:r>
    </w:p>
    <w:p>
      <w:pPr>
        <w:numPr>
          <w:ilvl w:val="0"/>
          <w:numId w:val="7"/>
        </w:numPr>
      </w:pPr>
      <w:r>
        <w:rPr/>
        <w:t xml:space="preserve">Все о гостиничном бизнесе – Режим доступа:  </w:t>
      </w:r>
      <w:hyperlink r:id="rId15" w:history="1">
        <w:r>
          <w:rPr/>
          <w:t xml:space="preserve">hotelmaster.ru</w:t>
        </w:r>
      </w:hyperlink>
      <w:r>
        <w:rPr/>
        <w:t xml:space="preserve">.</w:t>
      </w:r>
    </w:p>
    <w:p>
      <w:pPr>
        <w:numPr>
          <w:ilvl w:val="0"/>
          <w:numId w:val="7"/>
        </w:numPr>
      </w:pPr>
      <w:r>
        <w:rPr/>
        <w:t xml:space="preserve">ru. Сообщество профессионалов гостиничного бизнеса – Режим доступа:  </w:t>
      </w:r>
      <w:hyperlink r:id="rId16" w:history="1">
        <w:r>
          <w:rPr/>
          <w:t xml:space="preserve">www.frontdesk.ru</w:t>
        </w:r>
      </w:hyperlink>
    </w:p>
    <w:p>
      <w:pPr>
        <w:numPr>
          <w:ilvl w:val="0"/>
          <w:numId w:val="7"/>
        </w:numPr>
      </w:pPr>
      <w:r>
        <w:rPr/>
        <w:t xml:space="preserve">Портал гостиничного бизнеса – Режим доступа: </w:t>
      </w:r>
      <w:hyperlink r:id="rId17" w:history="1">
        <w:r>
          <w:rPr/>
          <w:t xml:space="preserve">http://www.hotelline.ru/technology_article.php?news_cid=540&amp;news_id=641</w:t>
        </w:r>
      </w:hyperlink>
    </w:p>
    <w:p>
      <w:pPr>
        <w:jc w:val="numTab"/>
        <w:spacing w:before="280" w:after="280"/>
      </w:pPr>
      <w:r>
        <w:rPr>
          <w:b w:val="1"/>
          <w:bCs w:val="1"/>
        </w:rPr>
        <w:t xml:space="preserve">15. Материально-техническое обеспечение практики</w:t>
      </w:r>
    </w:p>
    <w:p>
      <w:pPr>
        <w:jc w:val="numTab"/>
        <w:spacing w:before="280" w:after="280"/>
      </w:pPr>
      <w:r>
        <w:rPr/>
        <w:t xml:space="preserve">Дата «_____» _________2026 г.</w:t>
      </w:r>
    </w:p>
    <w:sectPr>
      <w:footerReference w:type="default" r:id="rId1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2559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6D48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482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8E1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54B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C240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1BFCCD"/>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29691" TargetMode="External"/><Relationship Id="rId8" Type="http://schemas.openxmlformats.org/officeDocument/2006/relationships/hyperlink" Target="http://biblioclub.ru/index.php?page=book&amp;id=90828" TargetMode="External"/><Relationship Id="rId9" Type="http://schemas.openxmlformats.org/officeDocument/2006/relationships/hyperlink" Target="http://biblioclub.ru/index.php?page=book&amp;id=436731" TargetMode="External"/><Relationship Id="rId10" Type="http://schemas.openxmlformats.org/officeDocument/2006/relationships/hyperlink" Target="http://biblioclub.ru/index.php?page=book&amp;id=438785" TargetMode="External"/><Relationship Id="rId11" Type="http://schemas.openxmlformats.org/officeDocument/2006/relationships/hyperlink" Target="http://biblioclub.ru/index.php?page=book&amp;id=114557" TargetMode="External"/><Relationship Id="rId12" Type="http://schemas.openxmlformats.org/officeDocument/2006/relationships/hyperlink" Target="http://biblioclub.ru/index.php?page=book&amp;id=118745" TargetMode="External"/><Relationship Id="rId13" Type="http://schemas.openxmlformats.org/officeDocument/2006/relationships/hyperlink" Target="http://biblioclub.ru/" TargetMode="External"/><Relationship Id="rId14" Type="http://schemas.openxmlformats.org/officeDocument/2006/relationships/hyperlink" Target="http://www.hotelexecutive.ru/" TargetMode="External"/><Relationship Id="rId15" Type="http://schemas.openxmlformats.org/officeDocument/2006/relationships/hyperlink" Target="http://www.hotelmaster.ru/" TargetMode="External"/><Relationship Id="rId16" Type="http://schemas.openxmlformats.org/officeDocument/2006/relationships/hyperlink" Target="http://www.frontdesk.ru/" TargetMode="External"/><Relationship Id="rId17" Type="http://schemas.openxmlformats.org/officeDocument/2006/relationships/hyperlink" Target="http://www.hotelline.ru/technology_article.php?news_cid=540&amp;news_id=641" TargetMode="External"/><Relationship Id="rId18"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2026-04-21T07:29:57+03:00</dcterms:created>
  <dcterms:modified xsi:type="dcterms:W3CDTF">2026-04-21T07:29:57+03:00</dcterms:modified>
</cp:coreProperties>
</file>

<file path=docProps/custom.xml><?xml version="1.0" encoding="utf-8"?>
<Properties xmlns="http://schemas.openxmlformats.org/officeDocument/2006/custom-properties" xmlns:vt="http://schemas.openxmlformats.org/officeDocument/2006/docPropsVTypes"/>
</file>