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показатели материально-технической базы отрасли образования и направления ее развития. Поскольку основные фонды выступают в товарной форме, их учет и плани-рование осуществляется в натуральных и стоимостных пока-зателях. К натуральным показателям относится число зданий и количество в них мест для обучения, наличие мест в лаборато-риях и учебных мастерских, количество единиц основного обо-рудования, необходимого для занятий и т.д. Натуральные показа-тели берутся за основу составления плана материально-технического обеспечения учебных заведений. С помощью стоимостных показателей определяется объем капитальных вложений, исчисляется амортизация, уста-навливаются финансовые расходы на капитальный ремонт и приобретение оборудования, оценивается структура основных фондов и динамика их изменения. В образовательных учрежде-ниях фонд амортизации не создается.  В Министерстве образования имеются расчетные нормы на амортизацию по видам и группам основных фондов. Были установлены следующие нормы износа: для различных зданий – от 1 до 12,5%, для лабораторного оборудования – от 7 до 10%, для измерительных и регулирующих приборов и установок – от 6,7 до 33,3%. Основные направления развития материально-технической базы отрасли образования:  – капитальное строительство, т.е. возведение новых и рекон-струкция действующих зданий и сооружений;  – приобретение и установка станков и оборудования, техниче-ская оснастка лабораторий; – развертывание процесса информатизации и внедрение современных технологий обучения; – внедрение технологий телекоммуникаций, которые по-зволяют студенту, живущему в любой точке земного шара, слушать лекции и задавать вопросы ведущим профессорам и экспертам из других стран; – популяризация метода дистанционного обучения; – разработка обучающих программ, подлежащих тиражи-рованию; – подготовка, выпуск и использование учебной и методической литературы.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отчет и иные сведения об использовании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Персонал в системе образования. 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 Руководство – 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 Преподаватели –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 Ученые –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 Специалисты –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Система работы с пер-соналом – это совокупность принципов и методов управления кадрами рабочих и служащих в организации. 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Профессиональный отбор кадров в организации является одним из наиболее важных моментов подбора персонала и включает следующие этапы: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 Перечень типовых документов для приема и оформления на работу в учреждение: листок по учету кадров (резюме); личное заявление о приеме на работу; трудовая книжка; рекомендательное письмо (характеристика); копия документа об образовании; фотографии сотрудника; бизнес-план работы в должности (для руководителя). Собеседование. Собеседование со вновь принимаемым работником до сих пор имеет решающее значение при приеме на работу. Важно к нему серьезно подготовиться и знать известные методы. Американский метод сводится к проверке интеллектуальных способностей, психологическому тестированию с использованием компьютеров и наблюдению за кандидатами в неформальной обстановке. Британский метод основан на личной беседе с кандидатом членов кадровой комиссии и анализе качеств кандидатов, мнений их родственников, рекомендателей. Немецкий метод основан на предварительной подготовке кандидатами значительного числа документов с обязательными письменными рекомендациями известных ученых, руководителей, политиков. Китайский метод основан на письменных экзаменах и имеет исторические традиции. Кандидаты пишут ряд сочинений и поэм, доказывая знание классики, легкость стиля и слога письма, знание истории. Российский метод основан на личной встрече с кандидатом и проведении собеседования на основе заранее подготовленных документов.</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Ценообразование в образовательном учреждении. В сфере образования цена (Ц) – денежное выражение стоимости образовательной услуги, отражающей величину общественно необходимых затрат на ее создание. Цена образовательной услуги (Ц) должна не только по-крыть издержки (С – себестоимость), но и обеспечить получение прибыли (П): Ц=С+П. Между ценой и себестоимостью возможны три соотноше-ния в рыночной экономике: Ц=С – образовательное учреждение только возместит свои затраты и не получит прибыль; Ц&amp;amp;amp;lt;С – прибыли нет, и образовательное учреждение поне-сет убытки; Ц&amp;amp;amp;gt;С – образовательное учреждение получает прибыль. 1. Выбор цели ценообразования. Существуют три основные стратегии ценовой политики: обеспечение выживаемости; максимизация прибыли; удержание рынка. Для образовательного учреждения в соответствии с его миссией приемлемы первая и третья цели ценовой политики. 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цены проникновения, 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 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 2. Определение спроса на образовательные услуги. 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Различают основную и дополнительную оплату труда: – основная –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 дополнительная –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 Вознаграждение за конечный результат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  Основные принципы оплаты труда для организации: – определение размера средней оплаты труда работников выше минимальной оплаты труда, установленной государством; – максимальная самостоятельность учреждения в вопросах организации и оплаты труда; – обеспечение рациональных соотношений в оплате слож-ного и простого, умственного и физического труда; – обеспечение соотношений в оплате труда отдельных профессий, категорий и групп; – индексация зарплаты в соответствии с темпами роста инфляции; – обеспечение оптимального удельного веса заработной платы в себестоимости продукции; – анализ средней заработной платы по аналогичным орга-низациям и планирование ее повышения; – анализ средней заработной платы одного работника в регионе (районе) и планирование ее повышения; – выбор рациональной системы оплаты труда (сдельной, повременной) для отдельных категорий работников; – обеспечение социальной защищенности работников ор-ганизации с помощью государственных и внутрифирменных га-рантий труда; – анализ динамики роста заработной платы и отдельных ее компонентов (оклады, тарифные ставки, вознаграждения, премии).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тест.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Тест</w:t>
      </w:r>
    </w:p>
    <w:p>
      <w:pPr/>
      <w:r>
        <w:rPr/>
        <w:t xml:space="preserve">Потребительская концепция образовательного учреждения определяет:</w:t>
      </w:r>
    </w:p>
    <w:p>
      <w:pPr>
        <w:numPr>
          <w:ilvl w:val="0"/>
          <w:numId w:val="1"/>
        </w:numPr>
      </w:pPr>
      <w:r>
        <w:rPr/>
        <w:t xml:space="preserve">нужды и запросы граждан, прогнозирует их поведение и определяет потенциальные возможности спроса с целью их удовлетворения</w:t>
      </w:r>
    </w:p>
    <w:p>
      <w:pPr>
        <w:numPr>
          <w:ilvl w:val="0"/>
          <w:numId w:val="1"/>
        </w:numPr>
      </w:pPr>
      <w:r>
        <w:rPr/>
        <w:t xml:space="preserve">потребности целевых рынков и удовлетворенность потребителей более эффективными способами, чем у конкурентов, с одновременным сохранением и укреплением благополучия потребителей и общества в целом</w:t>
      </w:r>
    </w:p>
    <w:p>
      <w:pPr>
        <w:numPr>
          <w:ilvl w:val="0"/>
          <w:numId w:val="1"/>
        </w:numPr>
      </w:pPr>
      <w:r>
        <w:rPr/>
        <w:t xml:space="preserve">уровень заинтересованности в образовательных услугах потребителей, ввиду их низкой цены</w:t>
      </w:r>
    </w:p>
    <w:p>
      <w:pPr>
        <w:numPr>
          <w:ilvl w:val="0"/>
          <w:numId w:val="1"/>
        </w:numPr>
      </w:pPr>
      <w:r>
        <w:rPr/>
        <w:t xml:space="preserve">потребности граждан в получении качественного и современного образования</w:t>
      </w:r>
    </w:p>
    <w:p>
      <w:pPr/>
      <w:r>
        <w:rPr/>
        <w:t xml:space="preserve">Планирование – это:</w:t>
      </w:r>
    </w:p>
    <w:p>
      <w:pPr>
        <w:numPr>
          <w:ilvl w:val="0"/>
          <w:numId w:val="2"/>
        </w:numPr>
      </w:pPr>
      <w:r>
        <w:rPr/>
        <w:t xml:space="preserve">создание необходимых условий для выполнения основных мероприятий</w:t>
      </w:r>
    </w:p>
    <w:p>
      <w:pPr>
        <w:numPr>
          <w:ilvl w:val="0"/>
          <w:numId w:val="2"/>
        </w:numPr>
      </w:pPr>
      <w:r>
        <w:rPr/>
        <w:t xml:space="preserve">выполнение управленческих действий</w:t>
      </w:r>
    </w:p>
    <w:p>
      <w:pPr>
        <w:numPr>
          <w:ilvl w:val="0"/>
          <w:numId w:val="2"/>
        </w:numPr>
      </w:pPr>
      <w:r>
        <w:rPr/>
        <w:t xml:space="preserve">определение путей перемещения объекта управления в новое состояние, более приближенное к стоящим перед ним целям</w:t>
      </w:r>
    </w:p>
    <w:p>
      <w:pPr>
        <w:numPr>
          <w:ilvl w:val="0"/>
          <w:numId w:val="2"/>
        </w:numPr>
      </w:pPr>
      <w:r>
        <w:rPr/>
        <w:t xml:space="preserve">определение места объекта управления относительно стоящих перед ним целей</w:t>
      </w:r>
    </w:p>
    <w:p>
      <w:pPr/>
      <w:r>
        <w:rPr/>
        <w:t xml:space="preserve">Выберите наиболее точное определение управления:</w:t>
      </w:r>
    </w:p>
    <w:p>
      <w:pPr>
        <w:numPr>
          <w:ilvl w:val="0"/>
          <w:numId w:val="3"/>
        </w:numPr>
      </w:pPr>
      <w:r>
        <w:rPr/>
        <w:t xml:space="preserve">процесс планирования, организации, мотивации и контроля, необходимый для того, чтобы сформулировать и достичь целей организации</w:t>
      </w:r>
    </w:p>
    <w:p>
      <w:pPr>
        <w:numPr>
          <w:ilvl w:val="0"/>
          <w:numId w:val="3"/>
        </w:numPr>
      </w:pPr>
      <w:r>
        <w:rPr/>
        <w:t xml:space="preserve">обособленная деятельность, обеспечивающая такую организацию основной деятельности, которая способствует достижению поставленной перед этой основной деятельностью цели</w:t>
      </w:r>
    </w:p>
    <w:p>
      <w:pPr>
        <w:numPr>
          <w:ilvl w:val="0"/>
          <w:numId w:val="3"/>
        </w:numPr>
      </w:pPr>
      <w:r>
        <w:rPr/>
        <w:t xml:space="preserve">создание необходимых условий, структур, коллективов, ресурсов для выполнения запланированных мероприятий</w:t>
      </w:r>
    </w:p>
    <w:p>
      <w:pPr>
        <w:numPr>
          <w:ilvl w:val="0"/>
          <w:numId w:val="3"/>
        </w:numPr>
      </w:pPr>
      <w:r>
        <w:rPr/>
        <w:t xml:space="preserve">основанное на достоверном знании систематическое воздействие субъекта управления на социальный объект, чтобы обеспечить его целостность, нормальное функционирование, совершенствование и развитие, достижение заданной цели</w:t>
      </w:r>
    </w:p>
    <w:p>
      <w:pPr/>
      <w:r>
        <w:rPr/>
        <w:t xml:space="preserve">Какой субъект играет важную роль в становлении маркетинга в сфере образования?</w:t>
      </w:r>
    </w:p>
    <w:p>
      <w:pPr>
        <w:numPr>
          <w:ilvl w:val="0"/>
          <w:numId w:val="4"/>
        </w:numPr>
      </w:pPr>
      <w:r>
        <w:rPr/>
        <w:t xml:space="preserve">образовательные организации</w:t>
      </w:r>
    </w:p>
    <w:p>
      <w:pPr>
        <w:numPr>
          <w:ilvl w:val="0"/>
          <w:numId w:val="4"/>
        </w:numPr>
      </w:pPr>
      <w:r>
        <w:rPr/>
        <w:t xml:space="preserve">личность обучающегося</w:t>
      </w:r>
    </w:p>
    <w:p>
      <w:pPr>
        <w:numPr>
          <w:ilvl w:val="0"/>
          <w:numId w:val="4"/>
        </w:numPr>
      </w:pPr>
      <w:r>
        <w:rPr/>
        <w:t xml:space="preserve">потребители образовательных услуг</w:t>
      </w:r>
    </w:p>
    <w:p>
      <w:pPr>
        <w:numPr>
          <w:ilvl w:val="0"/>
          <w:numId w:val="4"/>
        </w:numPr>
      </w:pPr>
      <w:r>
        <w:rPr/>
        <w:t xml:space="preserve">производители образовательных услуг</w:t>
      </w:r>
    </w:p>
    <w:p>
      <w:pPr/>
      <w:r>
        <w:rPr/>
        <w:t xml:space="preserve">Выберите наиболее подходящее определение налога:</w:t>
      </w:r>
    </w:p>
    <w:p>
      <w:pPr>
        <w:numPr>
          <w:ilvl w:val="0"/>
          <w:numId w:val="5"/>
        </w:numPr>
      </w:pPr>
      <w:r>
        <w:rPr/>
        <w:t xml:space="preserve">денежный сбор с коммерческих организаций</w:t>
      </w:r>
    </w:p>
    <w:p>
      <w:pPr>
        <w:numPr>
          <w:ilvl w:val="0"/>
          <w:numId w:val="5"/>
        </w:numPr>
      </w:pPr>
      <w:r>
        <w:rPr/>
        <w:t xml:space="preserve">нерегламентированный взнос в бюджет, которым облагаются физические и юридические лица</w:t>
      </w:r>
    </w:p>
    <w:p>
      <w:pPr>
        <w:numPr>
          <w:ilvl w:val="0"/>
          <w:numId w:val="5"/>
        </w:numPr>
      </w:pPr>
      <w:r>
        <w:rPr/>
        <w:t xml:space="preserve">обязательный взнос в бюджет соответствующего уровня или во внебюджетный фонд, осуществляемый плательщиками на условиях, определяемых законодательными актами</w:t>
      </w:r>
    </w:p>
    <w:p>
      <w:pPr>
        <w:numPr>
          <w:ilvl w:val="0"/>
          <w:numId w:val="5"/>
        </w:numPr>
      </w:pPr>
      <w:r>
        <w:rPr/>
        <w:t xml:space="preserve">возврат денег бюджетному фонду со стороны физических лиц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6"/>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6"/>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6"/>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6"/>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6"/>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7"/>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8"/>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9"/>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10"/>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10"/>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10"/>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11"/>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12"/>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3"/>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14"/>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5"/>
        </w:numPr>
      </w:pPr>
      <w:r>
        <w:rPr/>
        <w:t xml:space="preserve">Электронный ресурс]. – Режим доступа: http://www.nevasport.ru свободный.</w:t>
      </w:r>
    </w:p>
    <w:p>
      <w:pPr/>
      <w:r>
        <w:rPr/>
        <w:t xml:space="preserve">– Загл. с экрана.</w:t>
      </w:r>
    </w:p>
    <w:p>
      <w:pPr>
        <w:numPr>
          <w:ilvl w:val="0"/>
          <w:numId w:val="16"/>
        </w:numPr>
      </w:pPr>
      <w:r>
        <w:rPr/>
        <w:t xml:space="preserve">Электронный ресурс]. – Режим доступа: http://www.sportcom.ru свободный.</w:t>
      </w:r>
    </w:p>
    <w:p>
      <w:pPr/>
      <w:r>
        <w:rPr/>
        <w:t xml:space="preserve">– Загл. с экрана.</w:t>
      </w:r>
    </w:p>
    <w:p>
      <w:pPr>
        <w:numPr>
          <w:ilvl w:val="0"/>
          <w:numId w:val="17"/>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8"/>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F2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1AA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3E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DD7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99B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C7C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69E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346D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2446D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BDF2C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4A464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73FE6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561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12ADE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50C8F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5A284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38C2B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25E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75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2026-04-21T09:20:04+03:00</dcterms:created>
  <dcterms:modified xsi:type="dcterms:W3CDTF">2026-04-21T09:20:04+03:00</dcterms:modified>
</cp:coreProperties>
</file>

<file path=docProps/custom.xml><?xml version="1.0" encoding="utf-8"?>
<Properties xmlns="http://schemas.openxmlformats.org/officeDocument/2006/custom-properties" xmlns:vt="http://schemas.openxmlformats.org/officeDocument/2006/docPropsVTypes"/>
</file>