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педагогики и психологии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технологии, изобразительного искусства и дизайна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ОБРАБОТКА ТЕКСТИЛЬНЫХ МАТЕРИАЛОВ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«Технологическое образование и дополнительное образование»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«Технологическое образование и дополнительное образование»).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Яковлева Анастасия Викторовна, старший преподаватель, кафедра технологии, изобразительного искусства и дизайна.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организовать индивидуальную и совместную учебно-проектную деятельность обучающихся в предметной области Технология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ПК-1 наряду с дисциплинами: Выполнение и защита выпускной квалификационной работы (И), Учебная проектно-технологическая практика (О), Педагогическая практика (ОИ), Преддипломная практика (И), Теория и методика творческо-конструкторской деятельности (О), Учебная практика по технологии обработки пищевых продуктов (И), Технологическое предпринимательство (О), Конструирование и моделирование швейных изделий (О), Материаловедение в технологическом образовании (НО), Инженерно-техническое творчество (О), Технология обработки ткани и материаловедение (О), Черчение в школе (О), Основы теории декоративно-прикладного искусства (О), Электроника в технологическом образовании (О), Компьютерное моделирование в технологическом образовании (О), Художественные ремесла и народные промыслы (О), Обработка текстильных материалов (О), Семейная экономика и этикет (О), Народная кукла (О), Технологическая практика (НО), Подготовка к сдаче и сдача государственного экзамена (И), Педагогические основы профессионального самоопределения (О), Робототехника в технологическом образовании (О), Научно-исследовательская работа (курсовое сочинение) (О), Декоративно-прикладное творчество (О), Технология обработки конструкционных материалов (О), Технология обработки древесины и древесных материалов (О), Основы взаимозаменяемости и прикладной механики в технологическом образовании (О), Изготовление сувениров из дерева (О), Дизайн интерьеров (О), Теория решения изобретательских задач (ОИ), Методика обучения предпринимательству (О), Вязание (НО), Основы машиноведения в технологическом образовании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 Знает способы организации индивидуальной и совместной учебно-проектной деятельности обучающихся в предметной области Технология</w:t>
            </w:r>
          </w:p>
          <w:p/>
          <w:p>
            <w:pPr/>
            <w:r>
              <w:rPr/>
              <w:t xml:space="preserve">ПК-1.2 Умеет организовывать индивидуальную и совместную учебно-проектную деятельность обучающихся в предметной области Технология</w:t>
            </w:r>
          </w:p>
          <w:p/>
          <w:p>
            <w:pPr/>
            <w:r>
              <w:rPr/>
              <w:t xml:space="preserve">ПК-1.3 Владеет навыками организации индивидуальной и совместной учебно-проектной деятельности обучающихся в предметной области Технология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технически выполнять модели изделий из тканей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ПК-5 наряду с дисциплинами: Выполнение и защита выпускной квалификационной работы (И), Дизайн одежды (ОИ), Учебная практика по костюму (О), Обработка текстильных материалов (НО), Технологическая практика (НО), Подготовка к сдаче и сдача государственного экзамена (И), Технология пошива швейных изделий (ОИ), Народный костюм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 Разрабатывает конструкции изделий в соответствии с эскизом на основе  анализа антропометрических исследований, размерных признаков тела человека;</w:t>
            </w:r>
          </w:p>
          <w:p/>
          <w:p>
            <w:pPr/>
            <w:r>
              <w:rPr/>
              <w:t xml:space="preserve">ПК-5.2 Умеет выполнять моделирование одежды с учетом правил композиции и подбор  материалов и фурнитуры к изделиям на основе конфекционирования материалов;</w:t>
            </w:r>
          </w:p>
          <w:p/>
          <w:p>
            <w:pPr/>
            <w:r>
              <w:rPr/>
              <w:t xml:space="preserve">ПК-5.3 Владеет навыками поузловой технологической обработки изделия, контролирует качество обработки деталей, узлов, готового изделия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Обработка текстильных материалов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Техология пошива женских поясных изделий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пошива женского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Крой и пошив женских юбок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Крой и пошив женских брюк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Крой и пошив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Пошив юбки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Пошив женских брюк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Пошив плечевого изделия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проведении аудиторных занятий используются медиатехнологии. На практических занятиях изучаются частные вопросы тематических разделов. Подготовка к практическим занятиям осуществляется в рамках запланированной самостоятельной работы. Основными образовательными технологиями являются проблемное обучение и разбор творческих  заданий. При этом используется как индивидуальная работа обучающихся, так и обсуждение в группах, что способствует развитию у них самостоятельности и коммуникативных умений.</w:t>
      </w:r>
    </w:p>
    <w:p>
      <w:pPr/>
      <w:r>
        <w:rPr/>
        <w:t xml:space="preserve">Программа ориентирована на ведущую роль самостоятельной работы. Самостоятельная работа состоит в подготовке к практическим занятиям и промежуточной аттестации. Тематика самостоятельной работы включает все вопросы, которые необходимо подготовить к практическим занятиям и зачёту. При выполнении самостоятельной работы обучающиеся используют источники, приведенные в списке рекомендуемой литературы и Интернет-источники. При организации этого вида учебной деятельности используются следующие информационно-коммуникационные образовательные технологии:</w:t>
      </w:r>
    </w:p>
    <w:p>
      <w:pPr/>
      <w:r>
        <w:rPr/>
        <w:t xml:space="preserve">а) технология поиска и сбора новой информации – работа на компьютере с интернет ресурсами для поиска информации в электронных библиотеках, работа с учебной, справочной и научной литературой с целью подготовки к практическим занятиям.</w:t>
      </w:r>
    </w:p>
    <w:p>
      <w:pPr/>
      <w:r>
        <w:rPr/>
        <w:t xml:space="preserve">б) технология анализа и представления новой информации – работа над творческим заданием.</w:t>
      </w:r>
    </w:p>
    <w:p>
      <w:pPr/>
      <w:r>
        <w:rPr/>
        <w:t xml:space="preserve">Реализация компетентностного подхода с целью формирования и развития профессиональных навыков обучающихся предусматривает использование в учебном процессе активных и интерактивных форм проведения занятий в сочетании с внеаудиторной работой. Внеаудиторная работа проводится в виде работы в научной библиотеке ПетрГУ, посещение выставок, музеев, мастер-классов.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При оценке  проекта учитывается практическая направленность, качество, оригинальность и законченность изделия.</w:t>
      </w:r>
    </w:p>
    <w:p>
      <w:pPr/>
      <w:r>
        <w:rPr/>
        <w:t xml:space="preserve">При оценке проекта учитывается:</w:t>
      </w:r>
    </w:p>
    <w:p>
      <w:pPr/>
      <w:r>
        <w:rPr/>
        <w:t xml:space="preserve">Студент</w:t>
      </w:r>
    </w:p>
    <w:p>
      <w:pPr>
        <w:numPr>
          <w:ilvl w:val="0"/>
          <w:numId w:val="1"/>
        </w:numPr>
      </w:pPr>
      <w:r>
        <w:rPr/>
        <w:t xml:space="preserve">выполнил проект в полном объеме, проявив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самостоятельность и креативность</w:t>
      </w:r>
    </w:p>
    <w:p>
      <w:pPr>
        <w:numPr>
          <w:ilvl w:val="0"/>
          <w:numId w:val="1"/>
        </w:numPr>
      </w:pPr>
      <w:r>
        <w:rPr/>
        <w:t xml:space="preserve">владеет профессиональными умениями и навыками в области ДПИ в полном объеме учебной программы</w:t>
      </w:r>
    </w:p>
    <w:p>
      <w:pPr>
        <w:numPr>
          <w:ilvl w:val="0"/>
          <w:numId w:val="1"/>
        </w:numPr>
      </w:pPr>
      <w:r>
        <w:rPr/>
        <w:t xml:space="preserve">глубоко осмысливает задания по проекту самостоятельно, в логической последовательности и исчерпывающе выполняет все задания</w:t>
      </w:r>
    </w:p>
    <w:p>
      <w:pPr>
        <w:numPr>
          <w:ilvl w:val="0"/>
          <w:numId w:val="1"/>
        </w:numPr>
      </w:pPr>
      <w:r>
        <w:rPr/>
        <w:t xml:space="preserve">знает профессиональную терминологию и технологию,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</w:t>
      </w:r>
    </w:p>
    <w:p>
      <w:pPr>
        <w:numPr>
          <w:ilvl w:val="0"/>
          <w:numId w:val="1"/>
        </w:numPr>
      </w:pPr>
      <w:r>
        <w:rPr/>
        <w:t xml:space="preserve"> </w:t>
      </w:r>
      <w:r>
        <w:rPr/>
        <w:t xml:space="preserve">четкоформируетответы</w:t>
      </w:r>
    </w:p>
    <w:p>
      <w:pPr>
        <w:numPr>
          <w:ilvl w:val="0"/>
          <w:numId w:val="1"/>
        </w:numPr>
      </w:pPr>
      <w:r>
        <w:rPr/>
        <w:t xml:space="preserve">эскизы проекта представлены в срок и в полном объеме. Замечаний по их оформлению и содержанию нет</w:t>
      </w:r>
    </w:p>
    <w:p>
      <w:pPr/>
      <w:r>
        <w:rPr/>
        <w:t xml:space="preserve"> </w:t>
      </w:r>
    </w:p>
    <w:p>
      <w:pPr/>
      <w:r>
        <w:rPr/>
        <w:t xml:space="preserve">Если с</w:t>
      </w:r>
      <w:r>
        <w:rPr/>
        <w:t xml:space="preserve">тудент</w:t>
      </w:r>
      <w:r>
        <w:rPr/>
        <w:t xml:space="preserve">:</w:t>
      </w:r>
    </w:p>
    <w:p>
      <w:pPr>
        <w:numPr>
          <w:ilvl w:val="0"/>
          <w:numId w:val="2"/>
        </w:numPr>
      </w:pPr>
      <w:r>
        <w:rPr/>
        <w:t xml:space="preserve"> </w:t>
      </w:r>
      <w:r>
        <w:rPr/>
        <w:t xml:space="preserve">невыполнилпроект</w:t>
      </w:r>
    </w:p>
    <w:p>
      <w:pPr>
        <w:numPr>
          <w:ilvl w:val="0"/>
          <w:numId w:val="2"/>
        </w:numPr>
      </w:pPr>
      <w:r>
        <w:rPr/>
        <w:t xml:space="preserve">неосвоилобязательногоминимумазнаний</w:t>
      </w:r>
    </w:p>
    <w:p>
      <w:pPr>
        <w:numPr>
          <w:ilvl w:val="0"/>
          <w:numId w:val="2"/>
        </w:numPr>
      </w:pPr>
      <w:r>
        <w:rPr/>
        <w:t xml:space="preserve">не способен качественно выполнить работу и ответить на вопросы даже при дополнительных наводящих вопросах экзаменатора</w:t>
      </w:r>
    </w:p>
    <w:p>
      <w:pPr/>
      <w:r>
        <w:rPr/>
        <w:t xml:space="preserve">Требуется доработка проекта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освоения дисциплины «Обработка текстильных материалов» - формирование у обучающихся базовых знаний по новым технологиям в декоративно-прикладном творчестве.Для успешного освоения дисциплины «Обработка текстильных материалов» необходимо обладать компетенциями, приобретенными в результате освоения дисциплин декоративно-прикладного творчества предыдущих учебных курсов.</w:t>
      </w:r>
    </w:p>
    <w:p>
      <w:pPr/>
      <w:r>
        <w:rPr/>
        <w:t xml:space="preserve">Форма промежуточной аттестации – зачёт. Основные образовательные технологии перечислены в разделе 4, оценочные средства – в разделе 5.</w:t>
      </w:r>
    </w:p>
    <w:p>
      <w:pPr/>
      <w:r>
        <w:rPr/>
        <w:t xml:space="preserve">На практических занятиях обучающиеся выполняют индивидуальные творческие задания в соответствии с вопросами тематических разделов, указанные в разделе 3.3.</w:t>
      </w:r>
    </w:p>
    <w:p>
      <w:pPr/>
      <w:r>
        <w:rPr/>
        <w:t xml:space="preserve">Обучающиеся, пропустившие практическое занятие, самостоятельно составляют конспект и выполняют задание по соответствующей теме и представляют его на проверку преподавателю.</w:t>
      </w:r>
    </w:p>
    <w:p>
      <w:pPr/>
      <w:r>
        <w:rPr/>
        <w:t xml:space="preserve">При подготовке к практическим занятиям и зачёту необходимо пользоваться источниками, приведенными в списке литературы, и Интернет-ресурсами (см. раздел 8).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 Зачёт проводится в форме защиты творческого задания.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Дисциплина включает практические занятия и самостоятельную работу (см. разделы 3.1 и 3.3, 3.4 настоящей РПД). Форма промежуточной аттестации – зачёт. Дисциплина разделена на 3 тематических модуля.</w:t>
      </w:r>
    </w:p>
    <w:p>
      <w:pPr/>
      <w:r>
        <w:rPr/>
        <w:t xml:space="preserve">В результате освоения данной учебной дисциплины обучающийся должен знать технологии швейного производства. Обучающийся должен обладать способностью к использованию теоретических знаний в практической деятельности.</w:t>
      </w:r>
    </w:p>
    <w:p>
      <w:pPr/>
      <w:r>
        <w:rPr/>
        <w:t xml:space="preserve">В преподавании дисциплины используются классические контактные формы обучения –практические занятия. Практические занятия проводятся в оборудованных мастерских  университета(мультимедийной техникой, швейными машинами, утюгами, и.т.д.).</w:t>
      </w:r>
    </w:p>
    <w:p>
      <w:pPr/>
      <w:r>
        <w:rPr/>
        <w:t xml:space="preserve">На практических занятиях обучающиеся выполняют индивидуальные творческие задания. Подготовка к практическим занятиям осуществляется в рамках запланированной самостоятельной работы согласно разделу 3.4. Основными образовательными технологиями являются проблемное обучение и разбор конкретных творческих заданий.</w:t>
      </w:r>
    </w:p>
    <w:p>
      <w:pPr/>
      <w:r>
        <w:rPr/>
        <w:t xml:space="preserve">Самостоятельная работа (см. раздел 3.4) предполагает подготовку к практическим занятиями промежуточной аттестации.</w:t>
      </w:r>
    </w:p>
    <w:p>
      <w:pPr/>
      <w:r>
        <w:rPr/>
        <w:t xml:space="preserve">Преподаватель в журнале отмечает выполнение самостоятельных работ, активность работы на практических занятиях, выполнение курсовой работы по заданиям отдельных тематических модулей.</w:t>
      </w:r>
    </w:p>
    <w:p>
      <w:pPr/>
      <w:r>
        <w:rPr/>
        <w:t xml:space="preserve">Для успешного изучения дисциплины используется учебная литература и имеющиеся электронные ресурсы, список которых приведен в разделе 8.</w:t>
      </w:r>
    </w:p>
    <w:p>
      <w:pPr/>
      <w:r>
        <w:rPr/>
        <w:t xml:space="preserve">Текущий контроль осуществляется с использованием следующих оценочных средств: в зависимости от полноты качественного выполнения творческого задания.</w:t>
      </w:r>
    </w:p>
    <w:p>
      <w:pPr/>
      <w:r>
        <w:rPr/>
        <w:t xml:space="preserve">Обучающийся, пропустивший занятие, самостоятельно разрабатывает, конспектирует рассмотренные вопросы и представляет преподавателю на проверку.</w:t>
      </w:r>
    </w:p>
    <w:p>
      <w:pPr/>
      <w:r>
        <w:rPr/>
        <w:t xml:space="preserve">К зачёту допускаются обучающиеся, не имеющие задолженностей по всем видам занятий и работ в семестре.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Кирсанова Е. А.,Шустов Ю. С.,Куличенко А. В.,Жихарев А. П.Материаловедение. Дизайнкостюма СПб.: СПбГУПТД 2013 http://publish.sutd.ru/tp_ext_inf_publish.ph</w:t>
      </w:r>
      <w:br/>
      <w:r>
        <w:rPr/>
        <w:t xml:space="preserve">p?id=1176</w:t>
      </w:r>
      <w:br/>
      <w:r>
        <w:rPr/>
        <w:t xml:space="preserve">2. Цветкова, Н. Н. Текстильно материаловедение Санкт-Петербург:Издательство СПбКО 2010 </w:t>
      </w:r>
      <w:hyperlink r:id="rId7" w:history="1">
        <w:r>
          <w:rPr/>
          <w:t xml:space="preserve">http://www.iprbooksh</w:t>
        </w:r>
      </w:hyperlink>
      <w:r>
        <w:rPr/>
        <w:t xml:space="preserve"> op.ru/11254.h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Дресвянина Е. Н.,Лебедева Н. П.Текстильное материаловедение. Курсовая работа СПб.: СПбГУПТД 2019 </w:t>
      </w:r>
      <w:hyperlink r:id="rId8" w:history="1">
        <w:r>
          <w:rPr/>
          <w:t xml:space="preserve">http://publish.sutd.ru/</w:t>
        </w:r>
      </w:hyperlink>
      <w:r>
        <w:rPr/>
        <w:t xml:space="preserve"> tp_ext_inf_publish.php?id=2019169</w:t>
      </w:r>
      <w:br/>
      <w:r>
        <w:rPr/>
        <w:t xml:space="preserve">Андреева И. В., Куличенко А.В.,Лебедева И. П.,Бызова Е. В.,Дресвянина Е. Н.Материаловедение. Лабораторные и практические занятия СПб.: СПбГУПТД 2018</w:t>
      </w:r>
      <w:br/>
      <w:hyperlink r:id="rId8" w:history="1">
        <w:r>
          <w:rPr/>
          <w:t xml:space="preserve">http://publish.sutd.ru/</w:t>
        </w:r>
      </w:hyperlink>
      <w:r>
        <w:rPr/>
        <w:t xml:space="preserve"> tp_ext_inf_publish.php?id=2018227</w:t>
      </w:r>
    </w:p>
    <w:p>
      <w:pPr/>
      <w:r>
        <w:rPr/>
        <w:t xml:space="preserve">Под ред. КуличенкоА. В.Текстильное материаловедение. Текстильные полотна СПб.: СПбГУПТД 2019 http://publish.sutd.ru/tp_ext_inf_publish.php?id=2019177</w:t>
      </w:r>
      <w:br/>
      <w:r>
        <w:rPr/>
        <w:t xml:space="preserve">Лебедева Г. Г.,Бызова Е. В.,Андреева И. В.Текстильное материаловедение СПб.: СПбГУПТД 2010 http://publish.sutd.ru/tp_ext_inf_publish.php?id=776</w:t>
      </w:r>
      <w:br/>
      <w:b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</w:t>
      </w:r>
      <w:hyperlink r:id="rId9" w:history="1">
        <w:r>
          <w:rPr/>
          <w:t xml:space="preserve">http://foliant.ru/catalog/psulibr</w:t>
        </w:r>
      </w:hyperlink>
    </w:p>
    <w:p>
      <w:pPr/>
      <w:r>
        <w:rPr/>
        <w:t xml:space="preserve">Электронная библиотека Республики Карелия </w:t>
      </w:r>
      <w:hyperlink r:id="rId10" w:history="1">
        <w:r>
          <w:rPr/>
          <w:t xml:space="preserve">http://elibrary.karelia.ru/</w:t>
        </w:r>
      </w:hyperlink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11" w:history="1">
        <w:r>
          <w:rPr/>
          <w:t xml:space="preserve">http://biblioclub.ru/</w:t>
        </w:r>
      </w:hyperlink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2" w:history="1">
        <w:r>
          <w:rPr/>
          <w:t xml:space="preserve">http://www.studentlibrary.ru</w:t>
        </w:r>
      </w:hyperlink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</w:t>
      </w:r>
      <w:hyperlink r:id="rId13" w:history="1">
        <w:r>
          <w:rPr/>
          <w:t xml:space="preserve">http://library.petrsu.ru/collections/bd.shtml</w:t>
        </w:r>
      </w:hyperlink>
    </w:p>
    <w:p>
      <w:pPr/>
      <w:r>
        <w:rPr/>
        <w:t xml:space="preserve">Электронная библиотечная система «Большая научная библиотека» </w:t>
      </w:r>
      <w:hyperlink r:id="rId14" w:history="1">
        <w:r>
          <w:rPr/>
          <w:t xml:space="preserve">http://www.sci-lib.com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6F3D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98AF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4DE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B09D59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prbooksh" TargetMode="External"/><Relationship Id="rId8" Type="http://schemas.openxmlformats.org/officeDocument/2006/relationships/hyperlink" Target="http://publish.sutd.ru/" TargetMode="External"/><Relationship Id="rId9" Type="http://schemas.openxmlformats.org/officeDocument/2006/relationships/hyperlink" Target="http://foliant.ru/catalog/psulibr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entlibrary.ru" TargetMode="External"/><Relationship Id="rId13" Type="http://schemas.openxmlformats.org/officeDocument/2006/relationships/hyperlink" Target="http://library.petrsu.ru/collections/bd.shtml" TargetMode="External"/><Relationship Id="rId14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2026-04-21T09:27:08+03:00</dcterms:created>
  <dcterms:modified xsi:type="dcterms:W3CDTF">2026-04-21T09:27:08+03:00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