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КАЧЕСТВА ТУРИСТСКИХ И ЭКСКУРСИОННЫХ УСЛУГ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Белан Анна Ивановна, старший преподаватель, кафедра туризма; Кравцова Татьяна Сергеевна, старший преподаватель, кафедра туризма; специалист, Учебно-методический центр Института физической культуры, спорта и туризма; руководитель лаборатории, Учебно-технологическая лаборатория ресторанного дела.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Способность разрабатывать, продвигать и реализовывать проекты туристских и экскурсионных услуг в различных видах туризма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Обладает знанием нормативно-правовой документации, необходимой  для разработки, продвижения и реализации проектов туристских услуг в различных видах туризма; </w:t>
            </w:r>
          </w:p>
          <w:p/>
          <w:p>
            <w:pPr/>
            <w:r>
              <w:rPr/>
              <w:t xml:space="preserve">ПК-1.2. Умеет использовать законы и иные нормативно-правовые акты Российской Федерации в сфере туризма; </w:t>
            </w:r>
          </w:p>
          <w:p/>
          <w:p>
            <w:pPr/>
            <w:r>
              <w:rPr/>
              <w:t xml:space="preserve">ПК-1.3. Умеет использовать нормативные документы организаций, регламентирующие реализацию проектов услуг в различных видах туризма; </w:t>
            </w:r>
          </w:p>
          <w:p/>
          <w:p>
            <w:pPr/>
            <w:r>
              <w:rPr/>
              <w:t xml:space="preserve">ПК-1.4. Умеет разрабатывать проекты туристских и экскурсионных услуг и определять пути их продвижения и реализации;</w:t>
            </w:r>
          </w:p>
          <w:p/>
          <w:p>
            <w:pPr/>
            <w:r>
              <w:rPr/>
              <w:t xml:space="preserve">ПК-1.5. Владеет навыками анализа состояния рынка услуг на современном этапе и разработки проектов туристских и экскурсионных услуг в различных видах туризма.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качества туристских и экскурсионных услуг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Основы экскурсионной деятельности.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Техническое регулирование и стандартизация в индустрии гостеприимства.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определения уровня удовлетворенности потребителей качеством услуг и качеством обслуживания в туристской отрасли.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Реферат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Правовое регулирование в области качества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Неправовое регулирование в области качества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8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реферата на тему: Анализ положений закона РФ «О защите прав потребителей». - работа с литературой, - первоисточниками, - сайтами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целях реализации компетентностного подхода аудиторные занятия планируются в рамках такой образовательной технологии, как личностно-ориентированный подход. Это позволяет учитывать как исходный уровень знаний обучающегося, так и существующие технические возможности для обучения. Практические занятия проводятся в активной форме, требующей самостоятельной подготовки.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реферат.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Реферат</w:t>
      </w:r>
    </w:p>
    <w:p>
      <w:pPr/>
      <w:r>
        <w:rPr/>
        <w:t xml:space="preserve">Темы рефератов:</w:t>
      </w:r>
    </w:p>
    <w:p>
      <w:pPr/>
      <w:r>
        <w:rPr/>
        <w:t xml:space="preserve">Анализ положений закона РФ «О защите прав потребителей».</w:t>
      </w:r>
    </w:p>
    <w:p>
      <w:pPr/>
      <w:r>
        <w:rPr/>
        <w:t xml:space="preserve">Методы определения уровня удовлетворенности потребителей качеством услуг и качеством обслуживания в туристской отрасли</w:t>
      </w:r>
    </w:p>
    <w:tbl>
      <w:tblGrid>
        <w:gridCol w:w="1200" w:type="dxa"/>
        <w:gridCol w:w="3750" w:type="dxa"/>
      </w:tblGrid>
      <w:tblPr>
        <w:tblW w:w="5000" w:type="pct"/>
        <w:tblLayout w:type="autofit"/>
      </w:tblP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Отлично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сделал собственные выводы. При защите работы системно и последовательно излагал ответы на контрольные вопросы. Оценил достоинства и недостатки существующей проблемы и сделал содержательные выводы.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Хорошо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самостоятельно подготовил тему, проработал несколько источников литературы, собственные выводы отсутствуют. При защите работы достаточно полно излагал ответы на контрольные вопросы без привлечения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подготовил тему, проработал недостаточно источников литературы, собственные выводы отсутствуют. При защите работы не смог излагать ответы на контрольные вопросы, без примеров из других областей знаний. </w:t>
            </w:r>
            <w:r>
              <w:rPr/>
              <w:t xml:space="preserve">Достоинства и недостатки существующей проблемы не смог оценить.</w:t>
            </w:r>
          </w:p>
        </w:tc>
      </w:tr>
      <w:tr>
        <w:trPr/>
        <w:tc>
          <w:tcPr>
            <w:tcW w:w="1200" w:type="pct"/>
            <w:noWrap/>
          </w:tcPr>
          <w:p>
            <w:pPr/>
            <w:r>
              <w:rPr>
                <w:i w:val="1"/>
                <w:iCs w:val="1"/>
              </w:rPr>
              <w:t xml:space="preserve">Неудовлетворительно</w:t>
            </w:r>
          </w:p>
        </w:tc>
        <w:tc>
          <w:tcPr>
            <w:tcW w:w="3750" w:type="pct"/>
            <w:noWrap/>
          </w:tcPr>
          <w:p>
            <w:pPr/>
            <w:r>
              <w:rPr/>
              <w:t xml:space="preserve">Студент не выполнил реферат.</w:t>
            </w:r>
          </w:p>
        </w:tc>
      </w:tr>
    </w:tbl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</w:p>
    <w:p>
      <w:pPr/>
      <w:r>
        <w:rPr>
          <w:b w:val="1"/>
          <w:bCs w:val="1"/>
        </w:rPr>
        <w:t xml:space="preserve">Критерии оценивания результатов обучения</w:t>
      </w:r>
    </w:p>
    <w:p>
      <w:pPr/>
      <w:r>
        <w:rPr>
          <w:b w:val="1"/>
          <w:bCs w:val="1"/>
        </w:rPr>
        <w:t xml:space="preserve">«Зачтено» </w:t>
      </w:r>
      <w:r>
        <w:rPr/>
        <w:t xml:space="preserve">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справочной литературе, умеет правильно оценить полученные результаты.</w:t>
      </w:r>
    </w:p>
    <w:p>
      <w:pPr/>
      <w:r>
        <w:rPr>
          <w:b w:val="1"/>
          <w:bCs w:val="1"/>
        </w:rPr>
        <w:t xml:space="preserve">«Не зачтено» </w:t>
      </w:r>
      <w:r>
        <w:rPr/>
        <w:t xml:space="preserve">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Во время лекции студенты должны внимательно слушать преподавателя, не отвлекаться. Во время чтения лекции преподавателем студенты составляют конспект: кратко, схематично, последовательно фиксируют основные положения, выводы, формулировки, обобщения; помечают важные мысли, выделять ключевые слова, термины. При работе с лекцией необходимо обозначить вопросы, термины, материал, который вызывает трудности, пометить и попытаться найти ответ в рекомендуемой литературе. Если самостоятельно не удается разобраться в материале, необходимо сформулировать вопрос и задать преподавателю на консультации или на практическом занятии. Уделить внимание основным понятиям.</w:t>
      </w:r>
    </w:p>
    <w:p>
      <w:pPr/>
      <w:r>
        <w:rPr/>
        <w:t xml:space="preserve">При выполнении заданий практической работы студенту необходимо внимательно просмотреть конспекты лекции по соответствующей теме. Прочитать материал по теме, обсуждаемой на занятии, в учебнике. Прочитать дополнительную литературу по соответствующей теме. Выполнить предложенные преподавателем задания по практической работе.</w:t>
      </w:r>
    </w:p>
    <w:p>
      <w:pPr/>
      <w:r>
        <w:rPr/>
        <w:t xml:space="preserve">Проверить правильность выполнения полученных заданий. Подготовиться к устным ответам к вопросам, предложенным для обсуждения на собеседовании.</w:t>
      </w:r>
    </w:p>
    <w:p>
      <w:pPr/>
      <w:r>
        <w:rPr/>
        <w:t xml:space="preserve">Самостоятельная работа студентов по дисциплине призвана не только закреплять и углублять знания, полученные на аудиторных занятиях, но и формировать умения ориентироваться в многообразии материала, умения обобщать, реферировать, умения организовать свое время, способствовать развитию у студентов творческих навыков, выразить свою точку зрения на изученные вопросы и задания. При выполнении самостоятельной работы студенту необходимо прочитать теоретический материал не только в учебниках и учебных пособиях, указанных в библиографических списках, но и познакомиться с монографическими исследованиями. Самостоятельная работа направлена на углубление и закрепление знаний студента, развитие аналитических навыков по проблематике учебной дисциплины. Подведение итогов и оценка результатов таких форм самостоятельной работы осуществляется во время контактных часов с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При изучении дисциплины предусмотрены следующие виды учебных занятий: лекции, практические занятия, самостоятельная работа.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вопросам дисциплины. Особое внимание при этом уделяется развитию у студентов умений и навыков, необходимых для постоянной практической деятельности в условиях быстро развивающегося гостиничного бизнеса. На практических занятиях студенты под руководством преподавателя проводят дискуссии. В процессе проведения занятия применяются приемы актуализации опорных знаний учащихся. Средством управления деятельностью во время практического занятия служат устные инструкции преподавателя, в которых излагается последовательность действий обучаемых, дается информация о повторении необходимого материала, предлагаются вопросы по теме и источники необходимой информации.</w:t>
      </w:r>
    </w:p>
    <w:p>
      <w:pPr/>
      <w:r>
        <w:rPr/>
        <w:t xml:space="preserve">Для проверки уровня освоения учебного материала и эффективности преподавания дисциплины проводится текущий контроль знаний обучающихся, а также итоговый, предполагающий сдачу экзамена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Васин, С. Г.</w:t>
      </w:r>
      <w:r>
        <w:rPr/>
        <w:t xml:space="preserve">Управление качеством. Всеобщий подход : учебник для бакалавриата и магистратуры / С. Г. Васин. — Москва : Издательство Юрайт, 2019. — 404 с. — (Бакалавр и магистр. Академический курс). — </w:t>
      </w:r>
      <w:r>
        <w:rPr/>
        <w:t xml:space="preserve">ISBN</w:t>
      </w:r>
      <w:r>
        <w:rPr/>
        <w:t xml:space="preserve"> 978-5-9916-3739-8. — Текст : электронный // ЭБС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</w:t>
      </w:r>
      <w:hyperlink r:id="rId7" w:history="1">
        <w:r>
          <w:rPr/>
          <w:t xml:space="preserve">https://www.biblio-online.ru/bcode/425062</w:t>
        </w:r>
      </w:hyperlink>
      <w:r>
        <w:rPr/>
        <w:t xml:space="preserve"> </w:t>
      </w:r>
      <w:r>
        <w:rPr/>
        <w:t xml:space="preserve">(дата обращения: 07.11.2019)</w:t>
      </w:r>
    </w:p>
    <w:p>
      <w:pPr/>
      <w:r>
        <w:rPr/>
        <w:t xml:space="preserve">Курочкина, А. Ю. Управление качеством услуг : учебник и практикум для академического бакалавриата / А. Ю. Курочкина. — 2-е изд., испр. и доп. — М. : Издательство Юрайт, 2017. — 206 с. — (Серия : Бакалавр. Академический курс. Модуль.). URL:https://www.biblio-online.ru/book/EFC9DDA4-113A-47EA-BF42-61F133EC910A</w:t>
      </w:r>
    </w:p>
    <w:p>
      <w:pPr/>
      <w:r>
        <w:rPr/>
        <w:t xml:space="preserve">Михеева Е.Н., Сероштан М.В. Управление качеством: Учебник М.: Дашков и К // ЭБС "</w:t>
      </w:r>
      <w:r>
        <w:rPr/>
        <w:t xml:space="preserve">ONLINE</w:t>
      </w:r>
      <w:r>
        <w:rPr/>
        <w:t xml:space="preserve">", 2017.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http://biblioclub.ru/index.php?page=book&amp;id=454086</w:t>
        </w:r>
      </w:hyperlink>
    </w:p>
    <w:p>
      <w:pPr/>
      <w:r>
        <w:rPr/>
        <w:t xml:space="preserve">Дехтярь, Г. М. Стандартизация, сертификация, классификация в туристской и гостиничной индустрии : Учебное пособие / Г. М. Дехтярь. – 5-е изд., пер. и доп. – Москва : Издательство Юрайт, 2022. – 397 с. – (Высшее образование). – ISBN 978-5-534-15308-8. – EDN KOVSZN.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"/>
        </w:numPr>
      </w:pPr>
      <w:r>
        <w:rPr/>
        <w:t xml:space="preserve">Социальная квалиметрия, оценка качества и стандартизация социальных услуг : учебник / И.С. Романычев, Н.Н. Стрельникова, Л.В. Топчий и др. - Москва : Издательско-торговая корпорация «Дашков и К°», 2016. - 182 с. : табл. - (Учебные издания для ба-калавров). - Библиогр. в кн. - ISBN 978-5-394-02023-0 ; То же [Электронный ресурс]. - URL: http://biblioclub.ru/index.php?page=book&amp;id=453438</w:t>
      </w:r>
    </w:p>
    <w:p>
      <w:pPr>
        <w:numPr>
          <w:ilvl w:val="0"/>
          <w:numId w:val="1"/>
        </w:numPr>
      </w:pPr>
      <w:r>
        <w:rPr/>
        <w:t xml:space="preserve">Управление качеством : учебник / под ред. С.Д. Ильенковой. - 4-е изд., перераб. и доп. - Москва : Юнити-Дана, 2013. - 288 с. - ISBN 978-5-238-02344-1 ; То же [Электронный ресурс]. - URL: </w:t>
      </w:r>
      <w:hyperlink r:id="rId9" w:history="1">
        <w:r>
          <w:rPr/>
          <w:t xml:space="preserve">http://biblioclub.ru/index.php?page=book&amp;id=118966</w:t>
        </w:r>
      </w:hyperlink>
    </w:p>
    <w:p>
      <w:pPr>
        <w:numPr>
          <w:ilvl w:val="0"/>
          <w:numId w:val="1"/>
        </w:numPr>
      </w:pPr>
      <w:r>
        <w:rPr>
          <w:color w:val="windowtext"/>
        </w:rPr>
        <w:t xml:space="preserve">Нормативная документация</w:t>
      </w:r>
      <w:r>
        <w:rPr>
          <w:color w:val="windowtext"/>
          <w:i w:val="1"/>
          <w:iCs w:val="1"/>
        </w:rPr>
        <w:t xml:space="preserve">: </w:t>
      </w:r>
      <w:r>
        <w:rPr>
          <w:color w:val="windowtext"/>
        </w:rPr>
        <w:t xml:space="preserve"> </w:t>
      </w:r>
      <w:r>
        <w:rPr>
          <w:color w:val="windowtext"/>
        </w:rPr>
        <w:t xml:space="preserve">1. ГОСТ Р 51185-2008, Туристские услуги. Средства размещения. Общие требования. </w:t>
      </w:r>
      <w:r>
        <w:rPr>
          <w:color w:val="windowtext"/>
        </w:rPr>
        <w:t xml:space="preserve">2. ГОСТ Р 50690-2000, Туристские услуги. Общие требования. </w:t>
      </w:r>
      <w:r>
        <w:rPr>
          <w:color w:val="windowtext"/>
        </w:rPr>
        <w:t xml:space="preserve">3. ГОСТ 28681.3-95, Туристско-экскурсионное обслуживание. Требования по обеспечению безопасности туристов и экскурсантов. </w:t>
      </w:r>
      <w:r>
        <w:rPr>
          <w:color w:val="windowtext"/>
        </w:rPr>
        <w:t xml:space="preserve">4. ГОСТ 28681.1-95 , Туристско-экскурсионное обслуживание. Проектирование туристских услуг. </w:t>
      </w:r>
      <w:r>
        <w:rPr>
          <w:color w:val="windowtext"/>
        </w:rPr>
        <w:t xml:space="preserve">5. ГОСТ 30602-97 , Общественное питание. Термины и определения. </w:t>
      </w:r>
      <w:r>
        <w:rPr>
          <w:color w:val="windowtext"/>
        </w:rPr>
        <w:t xml:space="preserve">6. ГОСТ Р 40.003-2005, Система сертификации ГОСТ Р. Регистр систем качества. Порядок сертификации систем менеджмента качества на соответствие ГОСТ Р ИСО 9001-2001 (ИСО 9001:2000). </w:t>
      </w:r>
      <w:r>
        <w:rPr>
          <w:color w:val="windowtext"/>
        </w:rPr>
        <w:t xml:space="preserve">7. ГОСТ Р 40.003-2008, Система сертификации ГОСТ Р. Регистр систем качества. Порядок сертификации систем менеджмента качества на соответствие ГОСТ Р ИСО 9001-2008 (ИСО 9001:2008). </w:t>
      </w:r>
      <w:r>
        <w:rPr>
          <w:color w:val="windowtext"/>
        </w:rPr>
        <w:t xml:space="preserve">8. Гражданский кодекс Российской Федерации, часть 2, статья 971 ГК, договор поручения; </w:t>
      </w:r>
      <w:r>
        <w:rPr>
          <w:color w:val="windowtext"/>
        </w:rPr>
        <w:t xml:space="preserve">9. Гражданский кодекс Российской Федерации, часть 2, статья 973, исполнение поручения в соответствии с указаниями доверителя; </w:t>
      </w:r>
      <w:r>
        <w:rPr>
          <w:color w:val="windowtext"/>
        </w:rPr>
        <w:t xml:space="preserve">10. Гражданский кодекс Российской Федерации, часть 2, статья 974, обязанности поверенного; </w:t>
      </w:r>
      <w:r>
        <w:rPr>
          <w:color w:val="windowtext"/>
        </w:rPr>
        <w:t xml:space="preserve">11. Гражданский кодекс Российской Федерации, часть 2, статья 975, обязанности доверителя; </w:t>
      </w:r>
      <w:r>
        <w:rPr>
          <w:color w:val="windowtext"/>
        </w:rPr>
        <w:t xml:space="preserve">12. Гражданский кодекс Российской Федерации, часть 2, статья 976, передоверие исполнения поручения; </w:t>
      </w:r>
      <w:r>
        <w:rPr>
          <w:color w:val="windowtext"/>
        </w:rPr>
        <w:t xml:space="preserve">13. Действующее международное право. Т. 1.- М.: Московский независимый институт международного права, 1996. С. 811 - 816. (Извлечения) «Манильская декларация о мирном разрешении Международных споров» (Принята 15.11.1982 Резолюцией 37/10 на 68-ом пленарном заседании Генеральной Ассамблеи ООН);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2"/>
        </w:numPr>
      </w:pPr>
      <w:r>
        <w:rPr/>
        <w:t xml:space="preserve">Пакет Microsoft Office </w:t>
      </w:r>
      <w:r>
        <w:rPr/>
        <w:t xml:space="preserve">2007-2010</w:t>
      </w:r>
      <w:r>
        <w:rPr/>
        <w:t xml:space="preserve"> (Word, Excel, Power Point)</w:t>
      </w:r>
    </w:p>
    <w:p>
      <w:pPr>
        <w:numPr>
          <w:ilvl w:val="0"/>
          <w:numId w:val="2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2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/>
      <w:r>
        <w:rPr/>
        <w:t xml:space="preserve">В качестве вспомогательных Интернет-ресурсов по дисциплине используются:</w:t>
      </w:r>
    </w:p>
    <w:p>
      <w:pPr>
        <w:numPr>
          <w:ilvl w:val="0"/>
          <w:numId w:val="3"/>
        </w:numPr>
      </w:pPr>
      <w:r>
        <w:rPr/>
        <w:t xml:space="preserve">Библиотека Петрозаводского государственного университета. URL:   </w:t>
      </w:r>
      <w:hyperlink r:id="rId10" w:history="1">
        <w:r>
          <w:rPr/>
          <w:t xml:space="preserve">http://library.petrsu.ru</w:t>
        </w:r>
      </w:hyperlink>
      <w:br/>
      <w:r>
        <w:rPr/>
        <w:t xml:space="preserve">Научная электронная библиотека «Киберленинка». URL: </w:t>
      </w:r>
      <w:hyperlink r:id="rId11" w:history="1">
        <w:r>
          <w:rPr/>
          <w:t xml:space="preserve">https://cyberleninka.ru/</w:t>
        </w:r>
      </w:hyperlink>
    </w:p>
    <w:p>
      <w:pPr>
        <w:numPr>
          <w:ilvl w:val="0"/>
          <w:numId w:val="3"/>
        </w:numPr>
      </w:pPr>
      <w:r>
        <w:rPr/>
        <w:t xml:space="preserve">Научная электронная библиотека Республики Карелия. URL: </w:t>
      </w:r>
      <w:hyperlink r:id="rId12" w:history="1">
        <w:r>
          <w:rPr/>
          <w:t xml:space="preserve">http://elibrary.ru/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«Консультант студента. Студенческая электронная библиотека». URL: </w:t>
      </w:r>
      <w:hyperlink r:id="rId13" w:history="1">
        <w:r>
          <w:rPr/>
          <w:t xml:space="preserve">http://www.studentlibrary.ru</w:t>
        </w:r>
      </w:hyperlink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онлайн». URL: </w:t>
      </w:r>
      <w:hyperlink r:id="rId14" w:history="1">
        <w:r>
          <w:rPr/>
          <w:t xml:space="preserve">http://biblioclub.ru</w:t>
        </w:r>
      </w:hyperlink>
    </w:p>
    <w:p>
      <w:pPr>
        <w:numPr>
          <w:ilvl w:val="0"/>
          <w:numId w:val="3"/>
        </w:numPr>
      </w:pPr>
      <w:r>
        <w:rPr/>
        <w:t xml:space="preserve">Электронный каталог  Научной библиотеки ПетрГУ. URL: </w:t>
      </w:r>
      <w:hyperlink r:id="rId15" w:history="1">
        <w:r>
          <w:rPr/>
          <w:t xml:space="preserve">http://foliant.ru/catalog/psulibr</w:t>
        </w:r>
      </w:hyperlink>
    </w:p>
    <w:p>
      <w:pPr>
        <w:numPr>
          <w:ilvl w:val="0"/>
          <w:numId w:val="3"/>
        </w:numPr>
      </w:pPr>
      <w:r>
        <w:rPr/>
        <w:t xml:space="preserve">Ежедневная электронная газета Российского союза туриндустрии. http://ratanews.ru/statistics/ . RATA-news – ежедневная электронная газета Российского союза туриндустрии (бывшая Российская ассоциация туристических агентств, РАТА).</w:t>
      </w:r>
    </w:p>
    <w:p>
      <w:pPr>
        <w:numPr>
          <w:ilvl w:val="0"/>
          <w:numId w:val="3"/>
        </w:numPr>
      </w:pPr>
      <w:r>
        <w:rPr/>
        <w:t xml:space="preserve">Российский туризм. http://russiantourism.ru/main/main_15143.html Russiantourism.ru – это портал о туризме в России и ближнем зарубежье. Как функционирует туристическая отрасль страны.</w:t>
      </w:r>
    </w:p>
    <w:p>
      <w:pPr>
        <w:numPr>
          <w:ilvl w:val="0"/>
          <w:numId w:val="3"/>
        </w:numPr>
      </w:pPr>
      <w:r>
        <w:rPr/>
        <w:t xml:space="preserve">Туристическая библиотека. http://tourlib.net/books_tourism/aleks21.htm.</w:t>
      </w:r>
    </w:p>
    <w:p>
      <w:pPr/>
      <w:r>
        <w:rPr/>
        <w:t xml:space="preserve">Сайт «Все о туризме - туристическая библиотека» посвящен проблемам развития туризма в мире.</w:t>
      </w:r>
    </w:p>
    <w:p>
      <w:pPr>
        <w:numPr>
          <w:ilvl w:val="0"/>
          <w:numId w:val="4"/>
        </w:numPr>
      </w:pPr>
      <w:r>
        <w:rPr/>
        <w:t xml:space="preserve">Бесплатная библиотека стандартов и нормативов. http://www.docload.ru/Basesdoc/4/4812/index.htm ГОСТ Р 50681-94 Туристско-экскурсионное обслуживание.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>
        <w:numPr>
          <w:ilvl w:val="0"/>
          <w:numId w:val="5"/>
        </w:numPr>
      </w:pPr>
      <w:r>
        <w:rPr/>
        <w:t xml:space="preserve">официальный сайт университета (https://petrsu.ru);</w:t>
      </w:r>
    </w:p>
    <w:p>
      <w:pPr>
        <w:numPr>
          <w:ilvl w:val="0"/>
          <w:numId w:val="5"/>
        </w:numPr>
      </w:pPr>
      <w:r>
        <w:rPr/>
        <w:t xml:space="preserve">Информационно-Аналитическая Интегрированная Система управления вузом (ИАИС) (https://iias.petrsu.ru);</w:t>
      </w:r>
    </w:p>
    <w:p>
      <w:pPr>
        <w:numPr>
          <w:ilvl w:val="0"/>
          <w:numId w:val="5"/>
        </w:numPr>
      </w:pPr>
      <w:r>
        <w:rPr/>
        <w:t xml:space="preserve">образовательный портал ПетрГУ (https://edu.petrsu.ru);</w:t>
      </w:r>
    </w:p>
    <w:p>
      <w:pPr>
        <w:numPr>
          <w:ilvl w:val="0"/>
          <w:numId w:val="5"/>
        </w:numPr>
      </w:pPr>
      <w:r>
        <w:rPr/>
        <w:t xml:space="preserve">система электронной поддержки учебных курсов на базе программного обеспечения Moodle (https://moodle2.petrsu.ru), WebCT (https://webct.ru), Blackboard (https://blackboard.petrsu.ru), WebTutor (https://WebTutor.petrsu.ru) со встроенными подсистемами тестирования;</w:t>
      </w:r>
    </w:p>
    <w:p>
      <w:pPr>
        <w:numPr>
          <w:ilvl w:val="0"/>
          <w:numId w:val="5"/>
        </w:numPr>
      </w:pPr>
      <w:r>
        <w:rPr/>
        <w:t xml:space="preserve">электронные портфолио обучающихся ПетрГУ (https://portfolio.petrsu.ru);</w:t>
      </w:r>
    </w:p>
    <w:p>
      <w:pPr>
        <w:numPr>
          <w:ilvl w:val="0"/>
          <w:numId w:val="5"/>
        </w:numPr>
      </w:pPr>
      <w:r>
        <w:rPr/>
        <w:t xml:space="preserve">научная библиотека ПетрГУ (https://library.petrsu.ru) и электронный каталог «Фолиант» (https://foliant.ru/catalog/psulibr) ;</w:t>
      </w:r>
    </w:p>
    <w:p>
      <w:pPr>
        <w:numPr>
          <w:ilvl w:val="0"/>
          <w:numId w:val="5"/>
        </w:numPr>
      </w:pPr>
      <w:r>
        <w:rPr/>
        <w:t xml:space="preserve">электронная библиотека Республики Карелия (https://elibrary.karelia.ru);</w:t>
      </w:r>
    </w:p>
    <w:p>
      <w:pPr>
        <w:numPr>
          <w:ilvl w:val="0"/>
          <w:numId w:val="5"/>
        </w:numPr>
      </w:pPr>
      <w:r>
        <w:rPr/>
        <w:t xml:space="preserve">электронные научные журналы ПетрГУ (https://petrsu.ru/page/science/journals);</w:t>
      </w:r>
    </w:p>
    <w:p>
      <w:pPr>
        <w:numPr>
          <w:ilvl w:val="0"/>
          <w:numId w:val="5"/>
        </w:numPr>
      </w:pPr>
      <w:r>
        <w:rPr/>
        <w:t xml:space="preserve">корпоративная сеть ПетрГУ, включая беспроводной сегмент, и корпоративная почта;</w:t>
      </w:r>
    </w:p>
    <w:p>
      <w:pPr>
        <w:numPr>
          <w:ilvl w:val="0"/>
          <w:numId w:val="5"/>
        </w:numPr>
      </w:pPr>
      <w:r>
        <w:rPr/>
        <w:t xml:space="preserve">системы видеоконференцсвязи (TrueConf, Zoom (https://zoom.us/) и др.), сервер видеотрансляций Wowza;</w:t>
      </w:r>
    </w:p>
    <w:p>
      <w:pPr>
        <w:numPr>
          <w:ilvl w:val="0"/>
          <w:numId w:val="5"/>
        </w:numPr>
      </w:pPr>
      <w:r>
        <w:rPr/>
        <w:t xml:space="preserve">официальные сообщества университета в социальных сетях («Вконтакте» (https://vk.com/petrsu_ru), «Facebook» (https://www.facebook.com/petrsunews),«Twitter» (https://twitter.com/PetrSU_news), «Youtube» (https://www.youtube.com/channel/UCF6X8SpjmB8v2X6KGZBJNwA ) и др.;</w:t>
      </w:r>
    </w:p>
    <w:p>
      <w:pPr>
        <w:numPr>
          <w:ilvl w:val="0"/>
          <w:numId w:val="5"/>
        </w:numPr>
      </w:pPr>
      <w:r>
        <w:rPr/>
        <w:t xml:space="preserve">внешние электронные библиотечные системы («Университетская библиотека онлайн» (https://www.biblioclub.ru), Издательств «Лань» (https://e.lanbook.com), «Консультант студента. Студенческая электронная библиотека» https://www.studentlibrary.ru), «Консультант врача: электронная медицинская библиотека» (https://www.rosmedlib.ru);</w:t>
      </w:r>
    </w:p>
    <w:p>
      <w:pPr>
        <w:numPr>
          <w:ilvl w:val="0"/>
          <w:numId w:val="5"/>
        </w:numPr>
      </w:pPr>
      <w:r>
        <w:rPr/>
        <w:t xml:space="preserve">внешние образовательные платформы ("Юрайт" (https://urait.ru/), E-nano (https://edunano.ru/) и др.)</w:t>
      </w:r>
    </w:p>
    <w:p>
      <w:pPr>
        <w:numPr>
          <w:ilvl w:val="0"/>
          <w:numId w:val="5"/>
        </w:numPr>
      </w:pPr>
      <w:r>
        <w:rPr/>
        <w:t xml:space="preserve">система «Антиплагиат.ВУЗ» (https://petrsu.antiplagiat.ru);</w:t>
      </w:r>
    </w:p>
    <w:p>
      <w:pPr>
        <w:numPr>
          <w:ilvl w:val="0"/>
          <w:numId w:val="5"/>
        </w:numPr>
      </w:pPr>
      <w:r>
        <w:rPr/>
        <w:t xml:space="preserve">иные компоненты, необходимые для организации учебного процесса и взаимодействия компонентов ЭИОС.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6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6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89A6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1AAF4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E755F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AA91F85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3B0B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DB467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iblio-online.ru/bcode/425062" TargetMode="External"/><Relationship Id="rId8" Type="http://schemas.openxmlformats.org/officeDocument/2006/relationships/hyperlink" Target="http://biblioclub.ru/index.php?page=book&amp;id=454086" TargetMode="External"/><Relationship Id="rId9" Type="http://schemas.openxmlformats.org/officeDocument/2006/relationships/hyperlink" Target="http://biblioclub.ru/index.php?page=book&amp;id=118966" TargetMode="External"/><Relationship Id="rId10" Type="http://schemas.openxmlformats.org/officeDocument/2006/relationships/hyperlink" Target="http://library.petrsu.ru/" TargetMode="External"/><Relationship Id="rId11" Type="http://schemas.openxmlformats.org/officeDocument/2006/relationships/hyperlink" Target="https://cyberleninka.ru/" TargetMode="External"/><Relationship Id="rId12" Type="http://schemas.openxmlformats.org/officeDocument/2006/relationships/hyperlink" Target="http://elibrary.ru/" TargetMode="External"/><Relationship Id="rId13" Type="http://schemas.openxmlformats.org/officeDocument/2006/relationships/hyperlink" Target="http://www.studentlibrary.ru/" TargetMode="External"/><Relationship Id="rId14" Type="http://schemas.openxmlformats.org/officeDocument/2006/relationships/hyperlink" Target="http://biblioclub.ru/" TargetMode="External"/><Relationship Id="rId15" Type="http://schemas.openxmlformats.org/officeDocument/2006/relationships/hyperlink" Target="http://foliant.ru/catalog/psuli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2026-04-21T09:19:00+03:00</dcterms:created>
  <dcterms:modified xsi:type="dcterms:W3CDTF">2026-04-21T09:19:00+03:00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