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психология, Методика обучения труду, Научная организация труда студента, Теория обучения и воспитания, Введение в профессиональную деятельность, Общая и социальная психология.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работа: сущность, основные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 к защите. 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Подготовка ВКР – это самостоятельное научное исследование, выполняемое под руководством научного руководителя. ВКР является завершающим и наиболее сложным этапом учебной и научной работы студентов, ее научный уровень должен отвечать Федеральному государственному образовательному стандарту, ООП ВПО и профилю подготовки.</w:t>
      </w:r>
    </w:p>
    <w:p>
      <w:pPr/>
      <w:r>
        <w:rPr/>
        <w:t xml:space="preserve">Цель освоения дисциплины 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 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 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 изучение рекомендуемых литературных источников; конспектирование источников;</w:t>
      </w:r>
      <w:br/>
      <w:r>
        <w:rPr/>
        <w:t xml:space="preserve">работа со словарями и справочниками; 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 подготовка презентаций;</w:t>
      </w:r>
      <w:br/>
      <w:r>
        <w:rPr/>
        <w:t xml:space="preserve">ответы на контрольные вопросы; аннотирование; написание докладов;подготовка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Выпускная квалификационная работа являются формами самостоятельной учебной деятельности студентов, призванными систематизировать, закрепить и расширить теоретические знания по осваиваемым базовым дисциплинам, углубить изучение и решение одного из вопросов теории и практики, овладеть</w:t>
      </w:r>
      <w:br/>
      <w:r>
        <w:rPr/>
        <w:t xml:space="preserve">элементами самостоятельной исследовательской работы.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 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Птицына Е.В. Подготовка выпускной квалификационной работы: учебно-методическое пособие / Е.В. Птицына, О.К. Нилова, А.А. Талых. - Петрозаводск: ПетрГУ, 2023. – 34с. - URL: </w:t>
      </w:r>
      <w:hyperlink r:id="rId7" w:history="1">
        <w:r>
          <w:rPr/>
          <w:t xml:space="preserve">https://elibrary.petrsu.ru/books/62867</w:t>
        </w:r>
      </w:hyperlink>
    </w:p>
    <w:p>
      <w:pPr/>
      <w:r>
        <w:rPr/>
        <w:t xml:space="preserve">2. Дипломное проектирование в профессионально-педагогическом вузе: учебно-методическое пособие / И. В. Осипова, М. Б. Ларионова, А. Е. Новоселова. Екатеринбург: Изд-во Рос. гос. проф.-пед. ун-та, 2020. 134 с. - URL: https://elar.rsvpu.ru/bitstream/123456789/32330/1/978-5-8050-0694-5_2020.pdf.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Методические рекомендации по написанию курсовых и выпускных квалификационных работ: Учебно-методическое пособие для студентов / сост.: В.В.</w:t>
      </w:r>
      <w:br/>
      <w:r>
        <w:rPr/>
        <w:t xml:space="preserve">Гордеева. – Пенза: Изд-во ПГУ, 2014. – 90 с. - </w:t>
      </w:r>
      <w:r>
        <w:rPr/>
        <w:t xml:space="preserve">URL</w:t>
      </w:r>
      <w:r>
        <w:rPr/>
        <w:t xml:space="preserve">: https://dep_ppnco.pnzgu.ru/files/dep_ppnco.pnzgu.ru/posobiya/napisanie_kurs_rabot_i_vkr.pdf</w:t>
      </w:r>
    </w:p>
    <w:p>
      <w:pPr>
        <w:numPr>
          <w:ilvl w:val="0"/>
          <w:numId w:val="4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Справочная правовая информационная система «КонсультантПлюс».</w:t>
      </w:r>
      <w:r>
        <w:rPr>
          <w:b w:val="1"/>
          <w:bCs w:val="1"/>
        </w:rPr>
        <w:t xml:space="preserve">//</w:t>
      </w:r>
      <w:hyperlink r:id="rId9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6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6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6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6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6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0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85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B5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2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8B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C8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A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E6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petrsu.ru/books/62867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2026-04-21T04:01:31+03:00</dcterms:created>
  <dcterms:modified xsi:type="dcterms:W3CDTF">2026-04-21T04:01:31+03:00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