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РИТОРИКА В РАБОТЕ ЭКСКУРСОВОДА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Музееведение (О), Преддипломная практика (И), Подготовка к сдаче и сдача государственного экзамена (И), Учебная практика (О), Производственная практика (О), Иностранный язык второй (О), Русский язык и культура речи (Н), Иностранный язык (НО), Основы делового общения (О), Связи с общественностью (И), Риторика в работе экскурсовода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Риторика в работе экскурсовода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публичного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публичного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публичного выступления: поиск информации, создание текста, подготовка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зачету: проект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Все занятия проводятся в интерактивной форме тренинга по актерскому мастерству,</w:t>
      </w:r>
    </w:p>
    <w:p>
      <w:pPr/>
      <w:r>
        <w:rPr/>
        <w:t xml:space="preserve">лекции не предусмотрены. Возможно приглашение преподавателей колледжа культуры и искусства, актеров для проведения мастер-классов.</w:t>
      </w:r>
      <w:r>
        <w:rPr/>
        <w:t xml:space="preserve"> </w:t>
      </w:r>
    </w:p>
    <w:p>
      <w:pPr/>
      <w:r>
        <w:rPr>
          <w:i w:val="1"/>
          <w:iCs w:val="1"/>
        </w:rPr>
        <w:t xml:space="preserve">Все упражнения аудиторных тренингов обязательно отрабатываются самостоятельно вне урока.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6. 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к зачету рекомендуется не только участвовать в тренингах, но и самостоятельно отрабатывать упражнения вне занятий, уделяя каждый день этому от 30 минут до часа. Рекомендуется вести методическую «копилку» - записывать содержание тренингов и их задачи.</w:t>
      </w:r>
      <w:r>
        <w:rPr/>
        <w:t xml:space="preserve"> </w:t>
      </w:r>
    </w:p>
    <w:p>
      <w:pPr/>
      <w:r>
        <w:rPr/>
        <w:t xml:space="preserve">Готовясь к промежуточной аттестации, заранее определить тематику своего выступления, вести поиск информации. 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7. Методические рекомендации преподавателям по дисциплине</w:t>
      </w:r>
    </w:p>
    <w:p>
      <w:pPr/>
      <w:r>
        <w:rPr/>
        <w:t xml:space="preserve">Текущий контроль освоения дисциплины рекомендуется проводить на каждом занятии.</w:t>
      </w:r>
      <w:r>
        <w:rPr/>
        <w:t xml:space="preserve"> </w:t>
      </w:r>
    </w:p>
    <w:p>
      <w:pPr/>
      <w:r>
        <w:rPr/>
        <w:t xml:space="preserve">На практических занятиях рекомендуется проводить тренинги для демонстрации и усвоения методики выполнения упражнений. Содержание тренингов по каждому разделу дисциплины подробно дано в Фонде оценочных средств.</w:t>
      </w:r>
      <w:r>
        <w:rPr>
          <w:b w:val="1"/>
          <w:bCs w:val="1"/>
        </w:rPr>
        <w:t xml:space="preserve"> </w:t>
      </w:r>
    </w:p>
    <w:p>
      <w:pPr/>
      <w:r>
        <w:rPr/>
        <w:t xml:space="preserve">Во время тренинга контролировать правильное выполнение упражнений обучающимися, стимулировать творческую инициативу.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Святославский, А. В. Основы профессионального мастерства экскурсовода : Учебное пособие по экскурсионной теории и практике / А. В. Святославский ; Институт филологии МПГУ, Турцентр. – Москва : Издательство "Древлехранилище", 2018. – 184 с. – ISBN 978-5-93646-324-2. – EDN BWCUNR.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Ивашечкина, Е. В. Особенности ораторского мастерства / Е. В. Ивашечкина, Л. С. Анциборова // Модернизация культуры: знание как инструмент развития : Материалы VII Международной научно-практической конференции. В 2-х частях, Самара, 20–21 мая 2019 года / Под редакцией С.В. Соловьевой, В.И. Ионесова, Л.М. Артамоновой. Том Часть II. – Самара: Самарский государственный институт культуры, 2019. – С. 334-337. – EDN YNNEXC.</w:t>
      </w:r>
    </w:p>
    <w:p>
      <w:pPr/>
      <w:r>
        <w:rPr/>
        <w:t xml:space="preserve">Личность экскурсовода и феномен его мастерства: составляющие профессии / Т. А. Кольчугина, К. В. Агнаева, О. А. Дофельд [и др.] // Инновации в экскурсионной работе: концепции, технологии, практика. Том Часть 1. – Москва-Берлин : ООО "Директмедиа Паблишинг", 2020. – С. 163-208. – EDN TQATEE.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1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2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3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4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5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6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8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9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0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1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2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3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4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5"/>
        </w:numPr>
      </w:pPr>
      <w:r>
        <w:rPr/>
        <w:t xml:space="preserve">система «Антиплагиат.ВУЗ» (</w:t>
      </w:r>
      <w:hyperlink r:id="rId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6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48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BF769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3D080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D8FC7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8EF4E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A30D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C687A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0879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531E8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1E1B0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087D7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FDB93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E3F3C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FB74A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E639B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774BC2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825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2026-04-21T11:17:32+03:00</dcterms:created>
  <dcterms:modified xsi:type="dcterms:W3CDTF">2026-04-21T11:17:32+03:00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