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ДИПЛОМНОГО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научных исследований при создании дизайн проектов и обосновывать новизну собственных концептуальных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Сравнивает и выявляет актуальные методы научных исследований, которые возможно применить при создании дизайн-проекта; </w:t>
            </w:r>
          </w:p>
          <w:p/>
          <w:p>
            <w:pPr/>
            <w:r>
              <w:rPr/>
              <w:t xml:space="preserve">ПК-4.2. Применяет методы научных исследований в контексте создания дизайн-проекта и результаты применения методов напрямую влияют на увеличение качества дизайн-проекта; </w:t>
            </w:r>
          </w:p>
          <w:p/>
          <w:p>
            <w:pPr/>
            <w:r>
              <w:rPr/>
              <w:t xml:space="preserve">ПК-4.3. Выявляет новизну собственных концептуальных решений и аргументирует её нужность и своевременность в рамках создания и реализации дизайн-проекта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дипломного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Библиография, Основы художественного проектирования, Дизайн окружающей среды, Информационные компьютерные технологии в дизайне.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Выпускная квалификационная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к выполнению и структуре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и сроки выполнения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выпускной квалификационной работы. Введение. Содержание основной части. Выводы по главам. Заключение. Библиография. Приложение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Актуальность исследования. Объект и предмет исследования. Цели и задачи. Гипотеза. Методы исследования. Структура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Правила и особенности формулировки глав и параграфов исследования. Требования к написанию и оформлению основной части.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Формулировка проблемы исследования. Формулировка объекта и предмета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Формулировка глав и параграфов своего исследования. Подбор литературы. Сбор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Особенности и правила оформления таблиц и рисунков в тексте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Особенности оформления списка источников: документы, сайты, издания, текстовых и электронных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плана доклада и презентации к защите. Основные правила защиты ВКР и подготовки к 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введением. Обоснование круга проблем исследования. Написание актуальности исследования. Работа над объектом и предметом исследования. Формулирование гипотезы, целей и задач, методов ВКР.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выпускной квалификационной работы. Написание и оформление глав исследования. Написание выводов по главам. Написание заключения. Оформление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и оформления табличного и иллюстративного материала. Оформление разных видом таблиц. Оформление схем. Оформление графиков и диаграмм. Оформление фотографий.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библиографического списка. Составление и оформление библиографического списка к выпускной квалификационной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к защите и защита выпускной квалификационной работы. Составление доклада по своей теме. Составление презентации. Составление сценарияподготовки материалов к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лекциях рассматриваются основные теоретические и методологические моменты разделов курса «Культура дипломного проекта»,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 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Творческая работа представляет собой научную статью по следующим примерным темам:</w:t>
      </w:r>
    </w:p>
    <w:p>
      <w:pPr>
        <w:numPr>
          <w:ilvl w:val="0"/>
          <w:numId w:val="1"/>
        </w:numPr>
      </w:pPr>
      <w:r>
        <w:rPr/>
        <w:t xml:space="preserve">Использование основ цветоведения в плакате</w:t>
      </w:r>
    </w:p>
    <w:p>
      <w:pPr>
        <w:numPr>
          <w:ilvl w:val="0"/>
          <w:numId w:val="1"/>
        </w:numPr>
      </w:pPr>
      <w:r>
        <w:rPr/>
        <w:t xml:space="preserve">Эль Лисицкий - художник-конструктивист</w:t>
      </w:r>
    </w:p>
    <w:p>
      <w:pPr>
        <w:numPr>
          <w:ilvl w:val="0"/>
          <w:numId w:val="1"/>
        </w:numPr>
      </w:pPr>
      <w:r>
        <w:rPr/>
        <w:t xml:space="preserve">Создание выставочной экспозиции как синтетический процесс</w:t>
      </w:r>
    </w:p>
    <w:p>
      <w:pPr>
        <w:numPr>
          <w:ilvl w:val="0"/>
          <w:numId w:val="1"/>
        </w:numPr>
      </w:pPr>
      <w:r>
        <w:rPr/>
        <w:t xml:space="preserve">Графические техники в анимации</w:t>
      </w:r>
    </w:p>
    <w:p>
      <w:pPr>
        <w:numPr>
          <w:ilvl w:val="0"/>
          <w:numId w:val="1"/>
        </w:numPr>
      </w:pPr>
      <w:r>
        <w:rPr/>
        <w:t xml:space="preserve">Комикс как явление культуры</w:t>
      </w:r>
    </w:p>
    <w:p>
      <w:pPr>
        <w:numPr>
          <w:ilvl w:val="0"/>
          <w:numId w:val="1"/>
        </w:numPr>
      </w:pPr>
      <w:r>
        <w:rPr/>
        <w:t xml:space="preserve">Иллюстрация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Стилизация как композиционный прием</w:t>
      </w:r>
    </w:p>
    <w:p>
      <w:pPr>
        <w:numPr>
          <w:ilvl w:val="0"/>
          <w:numId w:val="1"/>
        </w:numPr>
      </w:pPr>
      <w:r>
        <w:rPr/>
        <w:t xml:space="preserve">Искусство Древнего Египта</w:t>
      </w:r>
    </w:p>
    <w:p>
      <w:pPr>
        <w:numPr>
          <w:ilvl w:val="0"/>
          <w:numId w:val="1"/>
        </w:numPr>
      </w:pPr>
      <w:r>
        <w:rPr/>
        <w:t xml:space="preserve">Тема Страшного Суда в памятниках средневековья Западной Европы и Древней Руси.</w:t>
      </w:r>
    </w:p>
    <w:p>
      <w:pPr>
        <w:numPr>
          <w:ilvl w:val="0"/>
          <w:numId w:val="1"/>
        </w:numPr>
      </w:pPr>
      <w:r>
        <w:rPr/>
        <w:t xml:space="preserve">Религиозная</w:t>
      </w:r>
      <w:r>
        <w:rPr/>
        <w:t xml:space="preserve"> тематика в картинах</w:t>
      </w:r>
      <w:r>
        <w:rPr/>
        <w:t xml:space="preserve"> </w:t>
      </w:r>
      <w:r>
        <w:rPr/>
        <w:t xml:space="preserve"> русских художников </w:t>
      </w:r>
      <w:r>
        <w:rPr/>
        <w:t xml:space="preserve">XIX</w:t>
      </w:r>
      <w:r>
        <w:rPr/>
        <w:t xml:space="preserve">в. (В.Поленов, Н.Крамской, Н.Ге)</w:t>
      </w:r>
    </w:p>
    <w:p>
      <w:pPr>
        <w:numPr>
          <w:ilvl w:val="0"/>
          <w:numId w:val="1"/>
        </w:numPr>
      </w:pPr>
      <w:r>
        <w:rPr/>
        <w:t xml:space="preserve">Национальная</w:t>
      </w:r>
      <w:r>
        <w:rPr/>
        <w:t xml:space="preserve"> художественная традиция и русский авангард начала </w:t>
      </w:r>
      <w:r>
        <w:rPr/>
        <w:t xml:space="preserve">XX</w:t>
      </w:r>
      <w:r>
        <w:rPr/>
        <w:t xml:space="preserve">в.</w:t>
      </w:r>
    </w:p>
    <w:p>
      <w:pPr>
        <w:numPr>
          <w:ilvl w:val="0"/>
          <w:numId w:val="1"/>
        </w:numPr>
      </w:pPr>
      <w:r>
        <w:rPr/>
        <w:t xml:space="preserve">Мифология древних славян в памятниках декоративно-прикладного искусства.</w:t>
      </w:r>
    </w:p>
    <w:p>
      <w:pPr>
        <w:numPr>
          <w:ilvl w:val="0"/>
          <w:numId w:val="1"/>
        </w:numPr>
      </w:pPr>
      <w:r>
        <w:rPr/>
        <w:t xml:space="preserve">Символика христианства в современном искусстве.</w:t>
      </w:r>
    </w:p>
    <w:p>
      <w:pPr>
        <w:numPr>
          <w:ilvl w:val="0"/>
          <w:numId w:val="1"/>
        </w:numPr>
      </w:pPr>
      <w:r>
        <w:rPr/>
        <w:t xml:space="preserve">Цвет как фактор создание психологического комфорта искусственной среды</w:t>
      </w:r>
    </w:p>
    <w:p>
      <w:pPr>
        <w:numPr>
          <w:ilvl w:val="0"/>
          <w:numId w:val="1"/>
        </w:numPr>
      </w:pPr>
      <w:r>
        <w:rPr/>
        <w:t xml:space="preserve">Выразительные возможности фотографии.</w:t>
      </w:r>
    </w:p>
    <w:p>
      <w:pPr>
        <w:numPr>
          <w:ilvl w:val="0"/>
          <w:numId w:val="1"/>
        </w:numPr>
      </w:pPr>
      <w:r>
        <w:rPr/>
        <w:t xml:space="preserve">Особенности создания социального плаката.</w:t>
      </w:r>
    </w:p>
    <w:p>
      <w:pPr>
        <w:numPr>
          <w:ilvl w:val="0"/>
          <w:numId w:val="1"/>
        </w:numPr>
      </w:pPr>
      <w:r>
        <w:rPr/>
        <w:t xml:space="preserve">Фирменный стиль как элемент прикладной графики</w:t>
      </w:r>
    </w:p>
    <w:p>
      <w:pPr>
        <w:numPr>
          <w:ilvl w:val="0"/>
          <w:numId w:val="1"/>
        </w:numPr>
      </w:pPr>
      <w:r>
        <w:rPr/>
        <w:t xml:space="preserve">Элементы печатной продукции в экспозиционном дизайне.</w:t>
      </w:r>
    </w:p>
    <w:p>
      <w:pPr/>
      <w:r>
        <w:rPr/>
        <w:t xml:space="preserve">Требования к научной статье:</w:t>
      </w:r>
    </w:p>
    <w:p>
      <w:pPr/>
      <w:r>
        <w:rPr/>
        <w:t xml:space="preserve">Статья должна включать:</w:t>
      </w:r>
    </w:p>
    <w:p>
      <w:pPr/>
      <w:r>
        <w:rPr/>
        <w:t xml:space="preserve">- аннотацию;</w:t>
      </w:r>
    </w:p>
    <w:p>
      <w:pPr/>
      <w:r>
        <w:rPr/>
        <w:t xml:space="preserve">- вводную часть;</w:t>
      </w:r>
    </w:p>
    <w:p>
      <w:pPr/>
      <w:r>
        <w:rPr/>
        <w:t xml:space="preserve">- основную часть (обязательно анализ 3-5 источников);</w:t>
      </w:r>
    </w:p>
    <w:p>
      <w:pPr/>
      <w:r>
        <w:rPr/>
        <w:t xml:space="preserve">- заключительную часть;</w:t>
      </w:r>
    </w:p>
    <w:p>
      <w:pPr/>
      <w:r>
        <w:rPr/>
        <w:t xml:space="preserve">- список литературы;</w:t>
      </w:r>
    </w:p>
    <w:p>
      <w:pPr/>
      <w:r>
        <w:rPr/>
        <w:t xml:space="preserve">- ключевые слова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2"/>
        </w:numPr>
      </w:pPr>
      <w:r>
        <w:rPr/>
        <w:t xml:space="preserve">Основные понятия и определения в области научной деятельности.</w:t>
      </w:r>
    </w:p>
    <w:p>
      <w:pPr>
        <w:numPr>
          <w:ilvl w:val="0"/>
          <w:numId w:val="3"/>
        </w:numPr>
      </w:pPr>
      <w:r>
        <w:rPr/>
        <w:t xml:space="preserve">Нормативно-правовое регулирование в сфере науки.</w:t>
      </w:r>
    </w:p>
    <w:p>
      <w:pPr>
        <w:numPr>
          <w:ilvl w:val="0"/>
          <w:numId w:val="3"/>
        </w:numPr>
      </w:pPr>
      <w:r>
        <w:rPr/>
        <w:t xml:space="preserve">Основные принципы осуществления государственной научной политики.</w:t>
      </w:r>
    </w:p>
    <w:p>
      <w:pPr>
        <w:numPr>
          <w:ilvl w:val="0"/>
          <w:numId w:val="3"/>
        </w:numPr>
      </w:pPr>
      <w:r>
        <w:rPr/>
        <w:t xml:space="preserve">Важнейшие направления государственной политики в области науки и технологий.</w:t>
      </w:r>
    </w:p>
    <w:p>
      <w:pPr>
        <w:numPr>
          <w:ilvl w:val="0"/>
          <w:numId w:val="3"/>
        </w:numPr>
      </w:pPr>
      <w:r>
        <w:rPr/>
        <w:t xml:space="preserve">Государственные и не государственные научные организации их структура и функции.</w:t>
      </w:r>
    </w:p>
    <w:p>
      <w:pPr>
        <w:numPr>
          <w:ilvl w:val="0"/>
          <w:numId w:val="3"/>
        </w:numPr>
      </w:pPr>
      <w:r>
        <w:rPr/>
        <w:t xml:space="preserve">Понятие науки и классификация наук.</w:t>
      </w:r>
    </w:p>
    <w:p>
      <w:pPr>
        <w:numPr>
          <w:ilvl w:val="0"/>
          <w:numId w:val="3"/>
        </w:numPr>
      </w:pPr>
      <w:r>
        <w:rPr/>
        <w:t xml:space="preserve">Научное исследование и его виды.</w:t>
      </w:r>
    </w:p>
    <w:p>
      <w:pPr>
        <w:numPr>
          <w:ilvl w:val="0"/>
          <w:numId w:val="3"/>
        </w:numPr>
      </w:pPr>
      <w:r>
        <w:rPr/>
        <w:t xml:space="preserve">Этапы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Понятие метода и методологии научного исследования.</w:t>
      </w:r>
    </w:p>
    <w:p>
      <w:pPr>
        <w:numPr>
          <w:ilvl w:val="0"/>
          <w:numId w:val="3"/>
        </w:numPr>
      </w:pPr>
      <w:r>
        <w:rPr/>
        <w:t xml:space="preserve">Философские и общенаучные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Частные и специальные методы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выбора темы и обозначения цели исследования.</w:t>
      </w:r>
    </w:p>
    <w:p>
      <w:pPr>
        <w:numPr>
          <w:ilvl w:val="0"/>
          <w:numId w:val="3"/>
        </w:numPr>
      </w:pPr>
      <w:r>
        <w:rPr/>
        <w:t xml:space="preserve">Обозначение задач исследования.</w:t>
      </w:r>
    </w:p>
    <w:p>
      <w:pPr>
        <w:numPr>
          <w:ilvl w:val="0"/>
          <w:numId w:val="3"/>
        </w:numPr>
      </w:pPr>
      <w:r>
        <w:rPr/>
        <w:t xml:space="preserve">Разработка гипотезы исследования.</w:t>
      </w:r>
    </w:p>
    <w:p>
      <w:pPr>
        <w:numPr>
          <w:ilvl w:val="0"/>
          <w:numId w:val="3"/>
        </w:numPr>
      </w:pPr>
      <w:r>
        <w:rPr/>
        <w:t xml:space="preserve">Характеристика объекта и предмета исследования.</w:t>
      </w:r>
    </w:p>
    <w:p>
      <w:pPr>
        <w:numPr>
          <w:ilvl w:val="0"/>
          <w:numId w:val="3"/>
        </w:numPr>
      </w:pPr>
      <w:r>
        <w:rPr/>
        <w:t xml:space="preserve">Наблюдение.</w:t>
      </w:r>
    </w:p>
    <w:p>
      <w:pPr>
        <w:numPr>
          <w:ilvl w:val="0"/>
          <w:numId w:val="3"/>
        </w:numPr>
      </w:pPr>
      <w:r>
        <w:rPr/>
        <w:t xml:space="preserve">Эксперимент.</w:t>
      </w:r>
    </w:p>
    <w:p>
      <w:pPr>
        <w:numPr>
          <w:ilvl w:val="0"/>
          <w:numId w:val="3"/>
        </w:numPr>
      </w:pPr>
      <w:r>
        <w:rPr/>
        <w:t xml:space="preserve">Тестирование.</w:t>
      </w:r>
    </w:p>
    <w:p>
      <w:pPr>
        <w:numPr>
          <w:ilvl w:val="0"/>
          <w:numId w:val="3"/>
        </w:numPr>
      </w:pPr>
      <w:r>
        <w:rPr/>
        <w:t xml:space="preserve">Экспертная оценка.</w:t>
      </w:r>
    </w:p>
    <w:p>
      <w:pPr>
        <w:numPr>
          <w:ilvl w:val="0"/>
          <w:numId w:val="3"/>
        </w:numPr>
      </w:pPr>
      <w:r>
        <w:rPr/>
        <w:t xml:space="preserve">Общие требования к обработке данных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Планирование научно-исследовательской работы.</w:t>
      </w:r>
    </w:p>
    <w:p>
      <w:pPr>
        <w:numPr>
          <w:ilvl w:val="0"/>
          <w:numId w:val="3"/>
        </w:numPr>
      </w:pPr>
      <w:r>
        <w:rPr/>
        <w:t xml:space="preserve">Анализ теоретико-экспериментальных исследований и формулирование выводов.</w:t>
      </w:r>
    </w:p>
    <w:p>
      <w:pPr>
        <w:numPr>
          <w:ilvl w:val="0"/>
          <w:numId w:val="3"/>
        </w:numPr>
      </w:pPr>
      <w:r>
        <w:rPr/>
        <w:t xml:space="preserve">Научная информация и еѐ источники.</w:t>
      </w:r>
    </w:p>
    <w:p>
      <w:pPr>
        <w:numPr>
          <w:ilvl w:val="0"/>
          <w:numId w:val="3"/>
        </w:numPr>
      </w:pPr>
      <w:r>
        <w:rPr/>
        <w:t xml:space="preserve">Порядок и правила работы с источниками научной информации.</w:t>
      </w:r>
    </w:p>
    <w:p>
      <w:pPr>
        <w:numPr>
          <w:ilvl w:val="0"/>
          <w:numId w:val="3"/>
        </w:numPr>
      </w:pPr>
      <w:r>
        <w:rPr/>
        <w:t xml:space="preserve">Критерии эффективности научного исследования.</w:t>
      </w:r>
    </w:p>
    <w:p>
      <w:pPr>
        <w:numPr>
          <w:ilvl w:val="0"/>
          <w:numId w:val="3"/>
        </w:numPr>
      </w:pPr>
      <w:r>
        <w:rPr/>
        <w:t xml:space="preserve">Особенности подготовки и защиты студенческих учебно-исследовательских работ.</w:t>
      </w:r>
    </w:p>
    <w:p>
      <w:pPr/>
      <w:r>
        <w:rPr/>
        <w:t xml:space="preserve"> </w:t>
      </w:r>
    </w:p>
    <w:p>
      <w:pPr/>
      <w:r>
        <w:rPr/>
        <w:t xml:space="preserve">Примерные задания к зачету:</w:t>
      </w:r>
    </w:p>
    <w:p>
      <w:pPr/>
      <w:r>
        <w:rPr/>
        <w:t xml:space="preserve">Разработать и защитить проект, подготовив его презентацию:</w:t>
      </w:r>
    </w:p>
    <w:p>
      <w:pPr/>
      <w:r>
        <w:rPr/>
        <w:t xml:space="preserve">- разработать структуру выпускной квалификационной работы (ВКР),</w:t>
      </w:r>
    </w:p>
    <w:p>
      <w:pPr/>
      <w:r>
        <w:rPr/>
        <w:t xml:space="preserve">- спроектировать научный аппарат выпускной квалификационной работы,</w:t>
      </w:r>
    </w:p>
    <w:p>
      <w:pPr/>
      <w:r>
        <w:rPr/>
        <w:t xml:space="preserve">- написать введение ВКР,</w:t>
      </w:r>
    </w:p>
    <w:p>
      <w:pPr/>
      <w:r>
        <w:rPr/>
        <w:t xml:space="preserve">- подобрать методики, адекватные теме, предмету психолого-педагогического исследования и возрасту испытуемых.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  - формирование у студентов базовых знаний в методологии дипломного проектирования, умения самостоятельно разрабатывать научное исследование в рамках выпускной квалификационной работы,</w:t>
      </w:r>
      <w:r>
        <w:rPr/>
        <w:t xml:space="preserve"> </w:t>
      </w:r>
      <w:r>
        <w:rPr/>
        <w:t xml:space="preserve"> грамотно формировать пространство защиты.</w:t>
      </w:r>
    </w:p>
    <w:p>
      <w:pPr/>
      <w:r>
        <w:rPr/>
        <w:t xml:space="preserve">Дисциплина содержит</w:t>
      </w:r>
      <w:r>
        <w:rPr/>
        <w:t xml:space="preserve"> </w:t>
      </w:r>
      <w:r>
        <w:rPr/>
        <w:t xml:space="preserve"> лекции и</w:t>
      </w:r>
      <w:r>
        <w:rPr/>
        <w:t xml:space="preserve"> </w:t>
      </w:r>
      <w:r>
        <w:rPr/>
        <w:t xml:space="preserve"> задания для самостоятельной работы. Форма промежуточной аттестации -</w:t>
      </w:r>
      <w:r>
        <w:rPr/>
        <w:t xml:space="preserve"> </w:t>
      </w:r>
      <w:r>
        <w:rPr/>
        <w:t xml:space="preserve">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лекциях обучающиеся изучают теоретические основы научного исследования, особенности обработки научной информации, знакомятся с требованиями к ВКР. Самостоятельно выполняют практикумы по разработке плана научного исследования, формулированию научного аппарата, а также по оформлению и защите ВКР.</w:t>
      </w:r>
    </w:p>
    <w:p>
      <w:pPr/>
      <w:r>
        <w:rPr/>
        <w:t xml:space="preserve">Обучающиеся, пропустившие лекцию,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</w:t>
      </w:r>
      <w:br/>
      <w:r>
        <w:rPr/>
        <w:t xml:space="preserve">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</w:t>
      </w:r>
      <w:br/>
      <w:r>
        <w:rPr/>
        <w:t xml:space="preserve">изучение рекомендуемых литературных источников;</w:t>
      </w:r>
      <w:br/>
      <w:r>
        <w:rPr/>
        <w:t xml:space="preserve">конспектирование источников;</w:t>
      </w:r>
      <w:br/>
      <w:r>
        <w:rPr/>
        <w:t xml:space="preserve">работа со словарями и справочниками;</w:t>
      </w:r>
      <w:br/>
      <w:r>
        <w:rPr/>
        <w:t xml:space="preserve">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</w:t>
      </w:r>
      <w:br/>
      <w:r>
        <w:rPr/>
        <w:t xml:space="preserve">подготовка презентаций;</w:t>
      </w:r>
      <w:br/>
      <w:r>
        <w:rPr/>
        <w:t xml:space="preserve">ответы на контрольные вопросы;</w:t>
      </w:r>
      <w:br/>
      <w:r>
        <w:rPr/>
        <w:t xml:space="preserve">аннотирование;</w:t>
      </w:r>
      <w:br/>
      <w:r>
        <w:rPr/>
        <w:t xml:space="preserve">написание докладов;</w:t>
      </w:r>
      <w:br/>
      <w:r>
        <w:rPr/>
        <w:t xml:space="preserve">подготовка к зачету.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  <w:br/>
      <w:r>
        <w:rPr/>
        <w:t xml:space="preserve">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Текущая аттестация представляет собой публикацию научной статьи (см. раздел 5.1).</w:t>
      </w:r>
      <w:r>
        <w:rPr/>
        <w:t xml:space="preserve"> </w:t>
      </w:r>
    </w:p>
    <w:p>
      <w:pPr/>
      <w:r>
        <w:rPr/>
        <w:t xml:space="preserve">Заканчивается курс открытой предзащитой ВКР, где студент представляет основное содержание научного исследования.</w:t>
      </w:r>
    </w:p>
    <w:p>
      <w:pPr/>
      <w:r>
        <w:rPr/>
        <w:t xml:space="preserve">При подготовке к зачету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 Зачет проводится в форме собеседования по предложенным вопросам (см. раздел 5.2), на подготовку отводится 15-20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/>
      <w:r>
        <w:rPr/>
        <w:t xml:space="preserve">Дисциплина включает</w:t>
      </w:r>
      <w:r>
        <w:rPr/>
        <w:t xml:space="preserve"> </w:t>
      </w:r>
      <w:r>
        <w:rPr/>
        <w:t xml:space="preserve"> лекции и задания для самостоятельной работы. Форма промежуточной аттестации – зачет. Дисциплина разделена на 2 тематических модуля. Модуль включает лекции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В результате освоения данной учебной дисциплины обучающийся должен знать основы теоретические основы исследовательской деятельности, способы организации научно-исследовательской работы, методы и методологию научного исследования, уметь определять</w:t>
      </w:r>
      <w:r>
        <w:rPr/>
        <w:t xml:space="preserve"> </w:t>
      </w:r>
      <w:r>
        <w:rPr/>
        <w:t xml:space="preserve">проблемы и актуальности исследования, формулировать тему, цель и задачи</w:t>
      </w:r>
      <w:r>
        <w:rPr/>
        <w:t xml:space="preserve"> </w:t>
      </w:r>
      <w:r>
        <w:rPr/>
        <w:t xml:space="preserve">исследования, выявлять объект и предмет исследования,</w:t>
      </w:r>
      <w:r>
        <w:rPr/>
        <w:t xml:space="preserve"> </w:t>
      </w:r>
      <w:r>
        <w:rPr/>
        <w:t xml:space="preserve"> выдвигать научные гипотезы. Владеть навыками публикации научного исследования, поиска, накопления и обработки научной информации,</w:t>
      </w:r>
      <w:r>
        <w:rPr/>
        <w:t xml:space="preserve"> </w:t>
      </w:r>
      <w:r>
        <w:rPr/>
        <w:t xml:space="preserve"> защиты ВКР. В преподавании дисциплины используются классические контактные формы обучения – лекционные занятия. Лекции</w:t>
      </w:r>
      <w:r>
        <w:rPr/>
        <w:t xml:space="preserve"> </w:t>
      </w:r>
      <w:r>
        <w:rPr/>
        <w:t xml:space="preserve">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базовых учебников по основам научного исследования,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(см. раздел 3.4) предполагает подготовку к выполнению заданий промежуточной аттестации.</w:t>
      </w:r>
      <w:r>
        <w:rPr/>
        <w:t xml:space="preserve"> </w:t>
      </w:r>
      <w:r>
        <w:rPr/>
        <w:t xml:space="preserve">Преподаватель в журнале отмечает выполнение самостоятельных работ, активность работы на</w:t>
      </w:r>
      <w:r>
        <w:rPr/>
        <w:t xml:space="preserve"> </w:t>
      </w:r>
      <w:r>
        <w:rPr/>
        <w:t xml:space="preserve"> занятиях.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творческое задание. Творческое задание выполняется в виде научной статьи и оценивается по принципу «зачтено» или «не зачтено». Творческое задание считается зачтенным, когда обучающийся в полном объеме проработал все вопросы данной научной темы, опубликовал в научном журнале.</w:t>
      </w:r>
      <w:r>
        <w:rPr/>
        <w:t xml:space="preserve"> 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</w:t>
      </w:r>
      <w:r>
        <w:rPr/>
        <w:t xml:space="preserve"> </w:t>
      </w:r>
      <w:r>
        <w:rPr/>
        <w:t xml:space="preserve">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Птицына Е.В. Подготовка выпускной квалификационной работы: учебно-методическое пособие / Е.В. Птицына, О.К. Нилова, А.А. Талых. - Петрозаводск: ПетрГУ, 2023. – 34с. - URL: </w:t>
      </w:r>
      <w:hyperlink r:id="rId7" w:history="1">
        <w:r>
          <w:rPr/>
          <w:t xml:space="preserve">https://elibrary.petrsu.ru/books/62867</w:t>
        </w:r>
      </w:hyperlink>
    </w:p>
    <w:p>
      <w:pPr/>
      <w:r>
        <w:rPr/>
        <w:t xml:space="preserve">2. Салтыкова, Г.М. Дизайн. Дипломные проектирование: методическое пособие для бакалавров / Г.М. Салтыкова. - Москва : Владос, 2017. - 43 с. : ил. - ISBN 978-5-907013-08-7 ; То же [Электронный ресурс]. - URL: </w:t>
      </w:r>
      <w:hyperlink r:id="rId8" w:history="1">
        <w:r>
          <w:rPr/>
          <w:t xml:space="preserve">http://biblioclub.ru/index.php?page=book&amp;id=486217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Методические рекомендации по написанию курсовых и выпускных квалификационных работ: Учебно-методическое пособие для студентов / сост.: В.В.</w:t>
      </w:r>
      <w:br/>
      <w:r>
        <w:rPr/>
        <w:t xml:space="preserve">Гордеева. – Пенза: Изд-во ПГУ, 2014. – 90 с. - URL: https://dep_ppnco.pnzgu.ru/files/dep_ppnco.pnzgu.ru/posobiya/napisanie_kurs_rabot_i_vkr.pdf</w:t>
      </w:r>
    </w:p>
    <w:p>
      <w:pPr>
        <w:numPr>
          <w:ilvl w:val="0"/>
          <w:numId w:val="4"/>
        </w:numPr>
      </w:pPr>
      <w:r>
        <w:rPr/>
        <w:t xml:space="preserve">Тарасова, О.П. Организация проектной деятельности дизайнера : учебное пособие / О.П. Тарасова, О.Р. 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- 165 с. : ил. - Библиогр.: с. 138-140. - ISBN 978-5-7410-1896-5 ; То же [Электронный ресурс]. - URL: http://biblioclub.ru/index.php?page=book&amp;id=485751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>
        <w:numPr>
          <w:ilvl w:val="0"/>
          <w:numId w:val="5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5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Справочная правовая информационная система «</w:t>
      </w:r>
      <w:r>
        <w:rPr>
          <w:b w:val="1"/>
          <w:bCs w:val="1"/>
        </w:rPr>
        <w:t xml:space="preserve">КонсультантПлюс».//</w:t>
      </w:r>
      <w:hyperlink r:id="rId10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Программное обеспечение.</w:t>
      </w:r>
    </w:p>
    <w:p>
      <w:pPr>
        <w:numPr>
          <w:ilvl w:val="0"/>
          <w:numId w:val="6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6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6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6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6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 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D6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BD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453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B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81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B5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94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0F7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petrsu.ru/books/62867" TargetMode="External"/><Relationship Id="rId8" Type="http://schemas.openxmlformats.org/officeDocument/2006/relationships/hyperlink" Target="http://biblioclub.ru/index.php?page=book&amp;id=486217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2026-04-21T04:04:42+03:00</dcterms:created>
  <dcterms:modified xsi:type="dcterms:W3CDTF">2026-04-21T04:04:42+03:00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