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«ТЕОРИЯ И МЕТОДИКА КУЛЬТУРНО-ДОСУГОВОЙ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функции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Принципы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Технология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подход в организации культурнодосуговых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Музыкальное оформление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методика подготовки и проведения культурно-досуговых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подготовки, организации и проведения массовых форм досуга…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Творческие аспекты обучения драматургии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Формы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Созидание - гуляние как особый тип форм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работы типа «путешествие»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работы с семьей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работа с людьми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режиссуру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сценарием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концертов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созданием номеров различных эстрадных жанров.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эстрадных представлений и концертов.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экзамеционному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 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«культурнодосуговая деятельность», функции и структура досуга.</w:t>
      </w:r>
    </w:p>
    <w:p>
      <w:pPr/>
      <w:r>
        <w:rPr/>
        <w:t xml:space="preserve">6) Основные направления досуговой деятельности детей и подростков в учреждениях дополнительного образования детей.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оптимальной организации самостоятельной работы студентов необходимы методические рекомендации, в которых указываются задания к семинарским и практическим занятиям, характеристики и примерные задания контрольных мероприятий, перечень основных и дополнительных источников, необходимых для подготовки ответов на поставленные вопросы наряду с лекционным материалом. Подготовка к рубежному контролю предполагает повторение пройденного материала и не требует специальной предварительной работы тех студентов, которые качественно освоили содержание лекционных, семинарских и практических занятий. Студентам, которые не выполняют план освоения дисциплины, рекомендуется выполнение дополнительных заданий. Тем самым, достигается не только решение задач самостоятельной подготовки в условиях ее предельно ограниченной трудоемкости, но и стимулирование мотивации студентов к посещению лекционных занятий, на основе которых составляются задания рубежного контроля, а также к активной работе на семинарских и практических занятиях. Методические рекомендации по решению задач Задачи решаются письменно по следующему алгоритму: следует сначала кратко дать ответ на поставленный вопрос, а затем его правовое и/или теоретическое обоснование. Вариант решения задачи должен быть обоснован, например, ссылками на статьи нормативно-правового акта (актов) или иного источника, с указанием части и пункта. Обоснование решения при необходимости может предлагаться исходя из теоретических понятий и толкования закона. Особое внимание на систему аргументов следует обратить в случае, когда требуется анализ спорной правовой ситуации. Методические рекомендации по созданию графических материалов С помощью лекционных материалов, нормативных источников, материалов учебника(ов) формируется необходимая информационная база для выполнения задания. Далее составляется перечень графических объектов, с помощью которого можно наиболее полно и в то же время кратко раскрыть содержание конкретной темы, используя различные методы анализа – структурно-функциональный, сравнительный, типологический, причинно-следственный. Учебные схемы, диаграммы и таблицы могут характеризовать состав явлений и процессов, структуру, типологические связи и т.д. Графической основой схем служат геометрические фигуры: прямоугольники, треугольники, круги, а также их соединения (линии, стрелки). Рекомендуется использовать графические средства Microsoft Office Word. Количество схем, создаваемых при выполнении задания, может быть различным и колебаться в диапазоне от 4 до 12. Чем более просты композиция и содержание схем, тем большим должно быть их количество (и наоборот). Перед каждой отдельной схемой должно располагаться ее название. Рейтинговая оценка учитывает полноту раскрытия темы; сложность и разнообразие графических решений; комплексный характер разработанных графических материалов, логичность и последовательность в их расположении. Методические рекомендации по написанию эссе Эссе – это небольшая по объему письменная работа, сочетающая субъективные авторские рассуждения по заданной теме с элементами научного анализа. Основная задача автора заключается не в комплексном и последовательном раскрытии темы, а в оригинальном раскрытии проблемы, выборе своеобразного ракурса ее рассмотрения, формулировке своего мнения в полемике с представителями иных взглядов. Поэтому подготовка эссе напоминает участие в дискуссии. Но к эссе предъявляются и вполне строгие требования научности. Субъективность автора должна опираться на знание предмета анализа, а не легковесные суждения и домыслы. Текст эссе не должен превратиться в несвязанный «поток сознания». Несмотря на то, что для эссе не характерна строгая формализованная структура, требуется вполне четкая и осмысленная авторская логика рассуждений. Ярко выраженную оригинальность эссе приобретает при наличии неожиданного хода в раскрытии темы, с помощью которой можно удивить, смутить или заинтриговать читателя. Парадоксальность – это одна из ключевых жанровых черт эссе. Ход размышлений может также подкрепляться яркими цитатами, интересными примерами, аналогиями и ассоциациями. Текст эссе должен быть легко читаем, но необходимо избегать разговорного стиля, сленга, шаблонных фраз. Вывод эссе не обязательно формулируется в качестве заключения, но нужно помнить об эффекте «последней фразы». Оформление ссылок и список использованной литературы не требуется. Объем не более 4 страниц А 4 (Times New Roman, 12 шрифтом, одинарный интервал). Методические рекомендации по составлению комплекта лекций Требования к комплекту тестов: – должны быть сбалансировано представлены все вопросы выбранной темы (из изучаемых в данном семестре); – подготовленные тестовые задания должны быть построены по уровневому принципу и включать различные типы тестов – общее количество разработанных тестов должно составить не менее 20; – во всех тестовых заданиях (как «закрытых», так и «открытых») должны быть указаны или сформулированы правильные и полные ответы.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рекомендации преподавателю по организации учебного процесса по дисциплине Преподавание учебной дисциплины осуществляется в соответствии с Федеральными государственными образовательными стандартами высшего профессионального образования, с учетом компетентностного подхода к обучению студентов. Способы и средства обеспечения освоения дисциплины При изучении дисциплины рекомендуется использовать следующий набор средств и способов обучения: – рекомендуемая основная и дополнительная литература; – задания на семинарские и практические занятия (обсуждаемые вопросы, кейс задания, расчетные задачи и др.); – задания для текущего контроля успеваемости (домашние задания студентам, тестовые задания в рамках электронной системы тестирования); – вопросы для подготовки к промежуточной аттестации по итогам освоения дисциплины; – задания к промежуточной аттестации, по итогам освоения дисциплины позволяющие оценить знания, умения и уровень приобретенных компетенций. Источник: http://kursak.net/metodicheskie-rekomendacii-prepodavatelyu-po-organizacii-uchebnogo-processa-po-discipline/ © kursak.net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Список литературы.</w:t>
      </w:r>
    </w:p>
    <w:p>
      <w:pPr/>
      <w:r>
        <w:rPr/>
        <w:t xml:space="preserve">1. Афанасьев С.П. Коморuн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/>
      <w:r>
        <w:rPr/>
        <w:t xml:space="preserve">2. Афанасьев С.П. Методика организации конкурсных программ / / Вестник КГПУ им. Н.А Некрасова, 1995. - № 1. –С. 57-61.</w:t>
      </w:r>
    </w:p>
    <w:p>
      <w:pPr/>
      <w:r>
        <w:rPr/>
        <w:t xml:space="preserve">3. Афанасьев С.П. Первый звонок: Что делать в школе 1 сентября: Методическое пособие. - Кострома: Эврика-М, 1999. - 112 с.</w:t>
      </w:r>
    </w:p>
    <w:p>
      <w:pPr/>
      <w:r>
        <w:rPr/>
        <w:t xml:space="preserve">4. Афанасьев С.П. Последний звонок: Как организовать праздник для выпускников: Методическое пособие. -Kocтpомa, 1995.</w:t>
      </w:r>
    </w:p>
    <w:p>
      <w:pPr/>
      <w:r>
        <w:rPr/>
        <w:t xml:space="preserve">5. Байбородова Л.В., Рожков M.И..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/>
      <w:r>
        <w:rPr/>
        <w:t xml:space="preserve">7. 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/>
      <w:r>
        <w:rPr/>
        <w:t xml:space="preserve">8. Беловрыкина А. Волшебный мир домашнего театра. М.,1999.</w:t>
      </w:r>
    </w:p>
    <w:p>
      <w:pPr/>
      <w:r>
        <w:rPr/>
        <w:t xml:space="preserve">9. 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1.Васильцова З.П. Мудрые мысли народной педагогики. М.,1984.</w:t>
      </w:r>
    </w:p>
    <w:p>
      <w:pPr/>
      <w:r>
        <w:rPr/>
        <w:t xml:space="preserve">2. 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ВКонтактеhttps://vk.com/bpcontest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https://рдш.рф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соц.сетьВКонтакте.</w:t>
      </w:r>
    </w:p>
    <w:p>
      <w:pPr/>
      <w:r>
        <w:rPr/>
        <w:t xml:space="preserve">40 https://vk.com/skm_96 -</w:t>
      </w:r>
    </w:p>
    <w:p>
      <w:pPr/>
      <w:r>
        <w:rPr/>
        <w:t xml:space="preserve">РДШ в Свердловской области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75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2026-04-21T03:56:19+03:00</dcterms:created>
  <dcterms:modified xsi:type="dcterms:W3CDTF">2026-04-21T03:56:19+03:00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