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ПРАВИЛА ДОРОЖНОГО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Правила дорожного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безопасности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документы, регулирующие отношения в сфере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дорожного движения. Движение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движения, остановка и стоянка транспортных средств. Опознавательные знаки транспортных средств. Пользование внешними световыми приборами и звуковыми сигналами.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дорожного движения. Сигналы светофора и регулировщика. Проезд перекрестков, виды перекрестков. Проезд пешеходных переходов, остановок маршрутных транспортных средств и железнодорожных переездов.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дорожных знаков в общей системе регулирования дорожного движения. Классификация дорожных 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транспортных средств. Управление автомобилем.  Контроль за состоянием транспортного средства. Виды и периодичность технического обслуживания. Действия водителя при управлении транспортным средством. Действия водителя в нештатных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движения транспортных средств, особенности скоростного режима движения  на  различных  участках  дороги  и  местности.  Дистанция  и боковой интервал.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дорожно-транспортных происшествий, их классификация. Последовательность действий при ДТП.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принятия правильных решений для водителей, мотоциклистов, велосипедистов,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пострадавшим при дорожно-транспортных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за нарушение правил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темам: Управление скутером, мопедом, мотоциклом. Управление велосипедом, самокатом, электросамокатом. Подготовка к тесту по данным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отработка навыков (например, во время консультаций преподавателя) по оказанию первой помощи пострадавшим. Основные транспортные положения. Правила и порядок осмотра пострадавшего. Оценка состояния пострадавшего. Транспортировка пострадавших. Сердечно-легочная реанимация. (СЛР). Особенности СЛР при электротравме, утоплении. Первая помощь при нарушении проходимости верхних дыхательных путей. Первая помощь при острой кровопотере и травматическом шоке, ранениях, травме головы и опорнодвигательной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Планирование поездки в зависимости от целей и дорожных условий.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Административное, уголовное, гражданское право. Правовые основы охраны окружающей среды. Страхование гражданской ответственности владельцев транспортных средств. Подготовка к тестированию по 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</w:t>
      </w:r>
      <w:r>
        <w:rPr/>
        <w:t xml:space="preserve"> </w:t>
      </w:r>
      <w:r>
        <w:rPr/>
        <w:t xml:space="preserve">мозговой штурм, Кейс-технология,</w:t>
      </w:r>
      <w:r>
        <w:rPr/>
        <w:t xml:space="preserve">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jc w:val="both"/>
      </w:pPr>
      <w:r>
        <w:rPr/>
        <w:t xml:space="preserve">Написание эссе по теме: Планирование поездки в зависимости от целей и дорожных условий движения.</w:t>
      </w:r>
    </w:p>
    <w:p>
      <w:pPr>
        <w:jc w:val="both"/>
      </w:pPr>
      <w:r>
        <w:rPr>
          <w:b w:val="1"/>
          <w:bCs w:val="1"/>
        </w:rPr>
        <w:t xml:space="preserve">Критерий оценивания эссе: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по результатам эссе видно умение самостоятельно решать конкретные практические задачи, планировать поездку в зависимости от дорожных условий.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эссе не написано или по результатам эссе видны существенные пробелы в знаниях основных положений учебной дисциплины.</w:t>
      </w:r>
    </w:p>
    <w:p/>
    <w:p>
      <w:pPr/>
      <w:r>
        <w:rPr/>
        <w:t xml:space="preserve">Кейс-задача</w:t>
      </w:r>
    </w:p>
    <w:p>
      <w:pPr>
        <w:jc w:val="both"/>
      </w:pPr>
      <w:r>
        <w:rPr/>
        <w:t xml:space="preserve">Кейс-задача представлена в виде реальной или вымышленной ситуации, которая может возникнуть в повседневной жизни обучающегося.</w:t>
      </w:r>
    </w:p>
    <w:p>
      <w:pPr>
        <w:jc w:val="both"/>
      </w:pPr>
      <w:r>
        <w:rPr>
          <w:b w:val="1"/>
          <w:bCs w:val="1"/>
        </w:rPr>
        <w:t xml:space="preserve">Критерий оценивания кейс-задачи: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задачу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>
      <w:pPr/>
      <w:r>
        <w:rPr/>
        <w:t xml:space="preserve">Текущее тестирование проходит по отдельным изученным темам.</w:t>
      </w:r>
    </w:p>
    <w:p>
      <w:pPr/>
      <w:r>
        <w:rPr/>
        <w:t xml:space="preserve">Примеры заданий:</w:t>
      </w:r>
    </w:p>
    <w:p>
      <w:pPr/>
      <w:r>
        <w:rPr/>
        <w:t xml:space="preserve">-В каких случаях возможно движение велосипедистов до 7 лет по правому краю проезжей части?</w:t>
      </w:r>
    </w:p>
    <w:p>
      <w:pPr/>
      <w:r>
        <w:rPr/>
        <w:t xml:space="preserve">-Что обязан сделать пешеход при приближении транспортных средств с включенным проблесковым маячком синего цвета и специальным звуковым сигналом?</w:t>
      </w:r>
    </w:p>
    <w:p>
      <w:pPr/>
      <w:r>
        <w:rPr/>
        <w:t xml:space="preserve">-Чьими сигналами должен руководствоваться пешеход при переходе проезжей части, где регулируется движение регулировщиком и пешеходным светофором?</w:t>
      </w:r>
    </w:p>
    <w:p>
      <w:pPr>
        <w:numPr>
          <w:ilvl w:val="0"/>
          <w:numId w:val="1"/>
        </w:numPr>
      </w:pPr>
      <w:r>
        <w:rPr/>
        <w:t xml:space="preserve">Регулировщика;</w:t>
      </w:r>
    </w:p>
    <w:p>
      <w:pPr>
        <w:numPr>
          <w:ilvl w:val="0"/>
          <w:numId w:val="1"/>
        </w:numPr>
      </w:pPr>
      <w:r>
        <w:rPr/>
        <w:t xml:space="preserve">Светофора;</w:t>
      </w:r>
    </w:p>
    <w:p>
      <w:pPr>
        <w:numPr>
          <w:ilvl w:val="0"/>
          <w:numId w:val="1"/>
        </w:numPr>
      </w:pPr>
      <w:r>
        <w:rPr/>
        <w:t xml:space="preserve">Знаков.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"Зачтено" ставится обучающемуся, если он верно ответил на более чем 60 % вопросов.</w:t>
      </w:r>
    </w:p>
    <w:p>
      <w:pPr/>
      <w:r>
        <w:rPr/>
        <w:t xml:space="preserve">"Не зачтено" ставится обучающемуся при менее чем 60% верных ответов.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проходит в форме итогового тестирования по всем изученным темам. Для допуска к зачету необходимо посещение не менее 70 % занятий, выполнение всех практических заданий по изученным темам и/или отработка пропущенных занятий.</w:t>
      </w:r>
    </w:p>
    <w:p>
      <w:pPr/>
      <w:r>
        <w:rPr/>
        <w:t xml:space="preserve">Примеры заданий на зачет:</w:t>
      </w:r>
    </w:p>
    <w:p>
      <w:pPr>
        <w:numPr>
          <w:ilvl w:val="0"/>
          <w:numId w:val="2"/>
        </w:numPr>
      </w:pPr>
      <w:r>
        <w:rPr/>
        <w:t xml:space="preserve">В каких случаях возможно движение велосипедистов до 7 лет по правому краю проезжей части?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Что обязан сделать пешеход при приближении транспортных средств с включенным проблесковым маячком синего цвета (синего и красного цветов) и специальным звуковым сигналом?</w:t>
      </w:r>
    </w:p>
    <w:p>
      <w:pPr>
        <w:numPr>
          <w:ilvl w:val="0"/>
          <w:numId w:val="2"/>
        </w:numPr>
      </w:pPr>
      <w:r>
        <w:rPr/>
        <w:t xml:space="preserve">Могут ли велосипедисты двигаться по краю проезжей части в 2 ряда?</w:t>
      </w:r>
    </w:p>
    <w:p>
      <w:pPr>
        <w:numPr>
          <w:ilvl w:val="0"/>
          <w:numId w:val="2"/>
        </w:numPr>
      </w:pPr>
      <w:r>
        <w:rPr/>
        <w:t xml:space="preserve">В каком году было выдано первое водительское удостоверение (справка о способности управлять транспортным средством с механическим мотором)?</w:t>
      </w:r>
    </w:p>
    <w:p>
      <w:pPr>
        <w:numPr>
          <w:ilvl w:val="0"/>
          <w:numId w:val="2"/>
        </w:numPr>
      </w:pPr>
      <w:r>
        <w:rPr/>
        <w:t xml:space="preserve">Какое количество человек в пешеходной колонне разрешено к передвижению в один ряд?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Скорость движения в велосипедной зоне ограничена цифрой?</w:t>
      </w:r>
    </w:p>
    <w:p>
      <w:pPr>
        <w:numPr>
          <w:ilvl w:val="0"/>
          <w:numId w:val="2"/>
        </w:numPr>
      </w:pPr>
      <w:r>
        <w:rPr/>
        <w:t xml:space="preserve">В каких случаях можно выходить на проезжую часть на нерегулируемых пешеходных переходах?</w:t>
      </w:r>
    </w:p>
    <w:p>
      <w:pPr>
        <w:numPr>
          <w:ilvl w:val="0"/>
          <w:numId w:val="2"/>
        </w:numPr>
      </w:pPr>
      <w:r>
        <w:rPr/>
        <w:t xml:space="preserve">В каком году были утверждены первые дорожные знаки?</w:t>
      </w:r>
    </w:p>
    <w:p>
      <w:pPr>
        <w:numPr>
          <w:ilvl w:val="0"/>
          <w:numId w:val="2"/>
        </w:numPr>
      </w:pPr>
      <w:r>
        <w:rPr/>
        <w:t xml:space="preserve">Когда и где появились первые правила дорожного движения?</w:t>
      </w:r>
    </w:p>
    <w:p>
      <w:pPr>
        <w:numPr>
          <w:ilvl w:val="0"/>
          <w:numId w:val="2"/>
        </w:numPr>
      </w:pPr>
      <w:r>
        <w:rPr/>
        <w:t xml:space="preserve">В каком направлении пешеход должен идти по загородной дороге?</w:t>
      </w:r>
    </w:p>
    <w:p>
      <w:pPr>
        <w:numPr>
          <w:ilvl w:val="0"/>
          <w:numId w:val="2"/>
        </w:numPr>
      </w:pPr>
      <w:r>
        <w:rPr/>
        <w:t xml:space="preserve">Придерживаясь какой стороны пешеходы должны двигаться по тротуарам и пешеходным дорожкам?</w:t>
      </w:r>
    </w:p>
    <w:p>
      <w:pPr>
        <w:numPr>
          <w:ilvl w:val="0"/>
          <w:numId w:val="2"/>
        </w:numPr>
      </w:pPr>
      <w:r>
        <w:rPr/>
        <w:t xml:space="preserve">Сколько сигналов у пешеходного светофора?</w:t>
      </w:r>
    </w:p>
    <w:p>
      <w:pPr>
        <w:numPr>
          <w:ilvl w:val="0"/>
          <w:numId w:val="2"/>
        </w:numPr>
      </w:pPr>
      <w:r>
        <w:rPr/>
        <w:t xml:space="preserve">Чьими сигналами должен руководствоваться пешеход при переходе проезжей части где регулируется движение?</w:t>
      </w:r>
    </w:p>
    <w:p>
      <w:pPr/>
      <w:r>
        <w:rPr>
          <w:b w:val="1"/>
          <w:bCs w:val="1"/>
        </w:rPr>
        <w:t xml:space="preserve">Критерий оценивания зачета: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верно ответил более чем на 65% вопросов.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задания выявились существенные пробелы в знаниях основных положений учебной дисциплины, верно ответил менее чем на 65% вопросов.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тестирование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Организация дорожного движения : учебное пособие / В.А.Гавриков, С. А. Анохин, А. А. Гуськов, Н. Ю. Залукаева ; Тамбовский государственный технический университет. – Тамбов : Тамбовский государственный технический университет (ТГТУ), 2020. – 145 с. : ил., табл. – Режим доступа: по подписке. – URL: </w:t>
      </w:r>
      <w:hyperlink r:id="rId7" w:history="1">
        <w:r>
          <w:rPr/>
          <w:t xml:space="preserve">https://biblioclub.ru/index.php?page=book&amp;id=720620</w:t>
        </w:r>
      </w:hyperlink>
      <w:r>
        <w:rPr/>
        <w:t xml:space="preserve"> (дата обращения: 05.05.2024). – Библиогр. в кн. – ISBN 978-5-8265-2259-2. – Текст : электронный.</w:t>
      </w:r>
    </w:p>
    <w:p>
      <w:pPr>
        <w:numPr>
          <w:ilvl w:val="0"/>
          <w:numId w:val="5"/>
        </w:numPr>
      </w:pPr>
      <w:r>
        <w:rPr/>
        <w:t xml:space="preserve">Шандриков, А. С. Основы управления транспортным средством и безопасность движения : учебное пособие / А.С.Шандриков. – 2-е изд., испр. и доп. – Минск : РИПО, 2023. – 253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https://biblioclub.ru/index.php?page=book&amp;id=712256</w:t>
        </w:r>
      </w:hyperlink>
      <w:r>
        <w:rPr/>
        <w:t xml:space="preserve"> (дата обращения: 05.05.2024). – Библиогр. в кн. – ISBN 978-985-895-118-4.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Дорожные условия и безопасность движения : лабораторный практикум : 16+ / сост. В. И. Кожевников, Д. И. Голуб ; Северо-Кавказский федеральный университет. – Ставрополь : Северо-Кавказский Федеральный университет (СКФУ), 2015. – 100 с. : ил. – Режим доступа: по подписке. – URL:</w:t>
      </w:r>
      <w:hyperlink r:id="rId9" w:history="1">
        <w:r>
          <w:rPr/>
          <w:t xml:space="preserve">https://biblioclub.ru/index.php?page=book&amp;id=457897</w:t>
        </w:r>
      </w:hyperlink>
      <w:r>
        <w:rPr/>
        <w:t xml:space="preserve">(дата обращения: 05.05.2024). – Библиогр.: с. 85. – Текст : электронный.</w:t>
      </w:r>
    </w:p>
    <w:p>
      <w:pPr>
        <w:numPr>
          <w:ilvl w:val="0"/>
          <w:numId w:val="6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Е.П.Николаева, Ю. А. Напорко. – Минск : РИПО, 2023. – 81 с. : ил., табл. – Режим доступа: по подписке. – URL: </w:t>
      </w:r>
      <w:hyperlink r:id="rId10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05.05.2024). – Библиогр. в кн. – ISBN 978-985-895-088-0. – Текст : электронный.</w:t>
      </w:r>
    </w:p>
    <w:p>
      <w:pPr>
        <w:numPr>
          <w:ilvl w:val="0"/>
          <w:numId w:val="6"/>
        </w:numPr>
      </w:pPr>
      <w:r>
        <w:rPr/>
        <w:t xml:space="preserve">Сафиуллин, Р. Н. Конструкция, расчет и эксплуатационные свойства транспортных средств : учебник / Р.Н.Сафиуллин, А. С. Афанасьев, Р. Р. Сафиуллин. – Москва ; Берлин : Директ-Медиа, 2018. – 314 с. : ил., схем., табл. – Режим доступа: по подписке. – URL: </w:t>
      </w:r>
      <w:hyperlink r:id="rId11" w:history="1">
        <w:r>
          <w:rPr/>
          <w:t xml:space="preserve">https://biblioclub.ru/index.php?page=book&amp;id=493346</w:t>
        </w:r>
      </w:hyperlink>
      <w:r>
        <w:rPr/>
        <w:t xml:space="preserve"> (дата обращения: 05.05.2024). – ISBN 978-5-4475-9658-3. – DOI 10.23681/493346. – Текст : электронный.</w:t>
      </w:r>
    </w:p>
    <w:p>
      <w:pPr>
        <w:numPr>
          <w:ilvl w:val="0"/>
          <w:numId w:val="6"/>
        </w:numPr>
      </w:pPr>
      <w:r>
        <w:rPr/>
        <w:t xml:space="preserve">О безопасности дорожного движения : Федеральный закон от 10.12.1995 № 196-ФЗ : ред. от 25.12.2023 : принят Государственной Думой 15 ноября 1995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https://www.consultant.ru/cons/cgi/online.cgi?req=doc&amp;base=LAW&amp;n=484632&amp;dst=0&amp;edition=etD&amp;rnd=memQyg#phbL8kUiOjGrvZHw2 (дата обращения: </w:t>
      </w:r>
      <w:r>
        <w:rPr/>
        <w:t xml:space="preserve">05.05.2024</w:t>
      </w:r>
      <w:r>
        <w:rPr/>
        <w:t xml:space="preserve">).</w:t>
      </w:r>
    </w:p>
    <w:p>
      <w:pPr>
        <w:numPr>
          <w:ilvl w:val="0"/>
          <w:numId w:val="6"/>
        </w:numPr>
      </w:pPr>
      <w:r>
        <w:rPr/>
        <w:t xml:space="preserve">О Правилах дорожного движения : Постановление Правительства Российской Федерации от 23.10.1993 № 1090 : ред. от 19.04.2024 : утв. Советом Министров - Правительством Российской Федерации и введ. в действие с 01.07.1994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https://www.consultant.ru/cons/cgi/online.cgi?req=doc&amp;base=LAW&amp;n=502052&amp;dst=0&amp;edition=etD&amp;rnd=memQyg#QEmJ8kUOmUcBzwVH2 (дата обращения: </w:t>
      </w:r>
      <w:r>
        <w:rPr/>
        <w:t xml:space="preserve">05.05.2024</w:t>
      </w:r>
      <w:r>
        <w:rPr/>
        <w:t xml:space="preserve">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05.05.2024). – Режим доступа: для зарегистрир. пользователей. – Текст : электронный.</w:t>
      </w:r>
    </w:p>
    <w:p>
      <w:pPr>
        <w:numPr>
          <w:ilvl w:val="0"/>
          <w:numId w:val="8"/>
        </w:numPr>
      </w:pPr>
      <w:r>
        <w:rPr/>
        <w:t xml:space="preserve">RU : научная электронная библиотека : сайт. – Москва, 2000 – . – URL: https://elibrary.ru (дата обращения: 05.05.2024).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6D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D7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56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DD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7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26F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C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8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0CE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20620" TargetMode="External"/><Relationship Id="rId8" Type="http://schemas.openxmlformats.org/officeDocument/2006/relationships/hyperlink" Target="https://biblioclub.ru/index.php?page=book&amp;id=712256" TargetMode="External"/><Relationship Id="rId9" Type="http://schemas.openxmlformats.org/officeDocument/2006/relationships/hyperlink" Target="https://biblioclub.ru/index.php?page=book&amp;id=457897" TargetMode="External"/><Relationship Id="rId10" Type="http://schemas.openxmlformats.org/officeDocument/2006/relationships/hyperlink" Target="https://biblioclub.ru/index.php?page=book&amp;id=711519" TargetMode="External"/><Relationship Id="rId11" Type="http://schemas.openxmlformats.org/officeDocument/2006/relationships/hyperlink" Target="https://biblioclub.ru/index.php?page=book&amp;id=49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2026-04-21T04:00:21+03:00</dcterms:created>
  <dcterms:modified xsi:type="dcterms:W3CDTF">2026-04-21T04:00:21+03:00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