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ПРОГРАММИРОВАНИЕ МИКРОПРОЦЕССОРОВ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Криптографические средства защиты информации (О), Научно-исследовательская работа (О), Учебная практика (О), Подготовка к сдаче и сдача государственного экзамена (И), Математический анализ (НО), Линейная алгебра (Н), Дискретная  математика (Н), Аналитическая геометрия (О), Теория вероятностей и математическая статистика (О), Исследование операций (О), Имитационное моделирование (И), Программирование микропроцессоров (О), Автоматическая обработка текста (О), Выполнение и защита выпускной квалификационной работы (И), Анализ данных на Python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дисциплин;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деятельности;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моделей;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решения;</w:t>
            </w:r>
          </w:p>
          <w:p/>
          <w:p>
            <w:pPr/>
            <w:r>
              <w:rPr/>
              <w:t xml:space="preserve">ОПК-1.5. Владеет методами построения математических моделей и содержательной интерпретации полученных результатов;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Программирование в системе 1С (О), Криптографические средства защиты информации (О), Научно-исследовательская работа (О), Учебная практика (О), Подготовка к сдаче и сдача государственного экзамена (И), Введение в архитектуру ЭВМ (О), Операционные системы (О), Компьютерные сети (О), Программирование микропроцессоров (О), Администрирование информационных систем (О), Выполнение и защита выпускной квалификационной работы (И), Информационные системы в бизнесе и управлении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архитектуры и принципов работы вычислительной техники и внешних устройств, в том числе отечественного производства;</w:t>
            </w:r>
          </w:p>
          <w:p/>
          <w:p>
            <w:pPr/>
            <w:r>
              <w:rPr/>
              <w:t xml:space="preserve">ОПК-2.2. Знает принципы организации вычислительных сетей, основы архитектуры вычислительных  сетей, основы построения сетевых протоколов;</w:t>
            </w:r>
          </w:p>
          <w:p/>
          <w:p>
            <w:pPr/>
            <w:r>
              <w:rPr/>
              <w:t xml:space="preserve">ОПК-2.3. Знает принципы работы, назначение и функции прикладного программного обеспечения;</w:t>
            </w:r>
          </w:p>
          <w:p/>
          <w:p>
            <w:pPr/>
            <w:r>
              <w:rPr/>
              <w:t xml:space="preserve">ОПК-2.4. Умеет применять прикладное программное обеспечение при решении профессиональных задач;</w:t>
            </w:r>
          </w:p>
          <w:p/>
          <w:p>
            <w:pPr/>
            <w:r>
              <w:rPr/>
              <w:t xml:space="preserve">ОПК-2.5. Владеет навыками работы с компьютерными сетями и сетевыми приложениями;</w:t>
            </w:r>
          </w:p>
          <w:p/>
          <w:p>
            <w:pPr/>
            <w:r>
              <w:rPr/>
              <w:t xml:space="preserve">ОПК-2.6. Владеет навыками работы с прикладным программным обеспечением, в том числе отечественного производства.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Научно-исследовательская работа (О), Учебная практика (О), Подготовка к сдаче и сдача государственного экзамена (И), Введение в архитектуру ЭВМ (Н), Операционные системы (Н), Компьютерные сети (О), Программирование микропроцессоров (О), Администрирование информационных систем (О), Стандартизация, сертификация и управление качеством программного обеспечения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принципы построения современных операционных систем и особенности их применения; настройки и состав ОС;</w:t>
            </w:r>
          </w:p>
          <w:p/>
          <w:p>
            <w:pPr/>
            <w:r>
              <w:rPr/>
              <w:t xml:space="preserve">ОПК-5.2. Умеет инсталлировать и использовать наиболее распространенные ОС, их стандартные утилиты и программно-аппаратные средства вычислительных и информационных систем;</w:t>
            </w:r>
          </w:p>
          <w:p/>
          <w:p>
            <w:pPr/>
            <w:r>
              <w:rPr/>
              <w:t xml:space="preserve">ОПК-5.3. Умеет настраивать конкретные конфигурации операционных систем;</w:t>
            </w:r>
          </w:p>
          <w:p/>
          <w:p>
            <w:pPr/>
            <w:r>
              <w:rPr/>
              <w:t xml:space="preserve">ОПК-5.4. Владеет навыками работы с различными операционными системами и их администрирования.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Программирование микропроцессоров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Аналоговый и цифровой сигнал, ШИМ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№5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№3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программирования Arduino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Интерфейс UART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Принципиальные схемы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Микропроцессоры. Основная информация.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№4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ШИМ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программирования на Arduino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Интерфейс UART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понимание принципиальных схем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Понимание основных определений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 с применением ЖК-дисплея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внешними светодиодами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Включение и выключение светодиодов с помощью кнопки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внутренним светодиодом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массивом светодиодов через клавиатуру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предусмотрено применение метода проектов.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Успешное освоение дисциплины предполагает активное, творческое участие обучающихся путем планомерной работы. </w:t>
      </w:r>
      <w:r>
        <w:rPr/>
        <w:t xml:space="preserve">Можно рекомендовать следующую последовательность учебной работы с каждым разделом.</w:t>
      </w:r>
    </w:p>
    <w:p>
      <w:pPr/>
      <w:r>
        <w:rPr/>
        <w:t xml:space="preserve">Обучающиеся должны зафиксировать: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рассматриваемую тему и перечень вопросов, входящих в тему;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основные понятия и положения изучаемой темы (наглядные формы – таблицы, схемы, алгоритмы и др.);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рекомендуемую литературу (основную, дополнительную, учебно-методические пособия).</w:t>
      </w:r>
    </w:p>
    <w:p>
      <w:pPr/>
      <w:r>
        <w:rPr/>
        <w:t xml:space="preserve">Далее с помощью рекомендаций и комментария преподавателя выполняются лабораторные работы в рамках текущего раздела, что позволяет осуществить осмысление и закрепление учебного материала. После выполнения лабораторных работ обучающиеся еще раз просматривают теоретический материал. </w:t>
      </w:r>
    </w:p>
    <w:p>
      <w:pPr/>
      <w:r>
        <w:rPr/>
        <w:t xml:space="preserve">Для успешного освоения дисциплины необходимо знать основные теоретические основы микроэлектроники, физику полупроводников и т.д., на основе которых рассматриваются все микроэлектронные устройства.</w:t>
      </w:r>
    </w:p>
    <w:p>
      <w:pPr/>
      <w:r>
        <w:rPr/>
        <w:t xml:space="preserve">После изучения трёх разделов и выполнения всех лабораторных работ обучающиеся приступают к подготовке к промежуточной аттестации в виде экзамена.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Учебные материалы по курсу предусматривают лабораторные работы. Ниже рассмотрены некоторые типовые варианты организации учебного процесса.</w:t>
      </w:r>
    </w:p>
    <w:p>
      <w:pPr/>
      <w:r>
        <w:rPr/>
        <w:t xml:space="preserve">По каждому разделу курса проводятся лабораторные занятия. Преподаватель проверяет и оценивает выполненные лабораторные работы в соответствии с полнотой достигнутых результатов. Самостоятельная работа обучающихся предусматривает осмысление и закрепление теоретического материала раздела с помощью печатных или электронных пособий. Консультации осуществляются индивидуально в удобной для слушателей форме. Контроль текущей и общей успеваемости проводится непосредственно на практических и лабораторных занятиях в интерактивной форме.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Гуртов, В. А. Твердотельная электроника [Электронный ресурс]: учеб. пособие для студентов вузов, обучающихся по направлению подгот. бакалавров, магистров 010700 "Физика" и специальности 010701 "Физика" / В. Гуртов. - 3-е, доп. изд. - Москва : Техносфера, 2008. - 511 с. : ил., портр., табл.; 25 см. – Режим доступа: http://solidstate.petrsu.ru/book/pdf/gurtov__solid_state_electronics__3_edition.pdf</w:t>
      </w:r>
    </w:p>
    <w:p>
      <w:pPr>
        <w:numPr>
          <w:ilvl w:val="0"/>
          <w:numId w:val="2"/>
        </w:numPr>
      </w:pPr>
      <w:r>
        <w:rPr/>
        <w:t xml:space="preserve">Микропроцессоры [Электронный ресурс]. – Режим доступа: http://dfe.petrsu.ru/koi/posob/microcpu/index.html.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Гуртов, В. А. Твердотельная электроника [Электронный ресурс]: учеб. пособие для студентов вузов, обучающихся по направлению подгот. бакалавров, магистров 010700 "Физика" и специальности 010701 "Физика" / В. Гуртов. - 3-е, доп. изд. - Москва : Техносфера, 2008. - 511 с. : ил., портр., табл.; 25 см. – Режим доступа: http://solidstate.petrsu.ru/book/pdf/gurtov__solid_state_electronics__3_edition.pdf</w:t>
      </w:r>
    </w:p>
    <w:p>
      <w:pPr>
        <w:numPr>
          <w:ilvl w:val="0"/>
          <w:numId w:val="3"/>
        </w:numPr>
      </w:pPr>
      <w:r>
        <w:rPr/>
        <w:t xml:space="preserve">Микропроцессоры [Электронный ресурс]. – Режим доступа: http://dfe.petrsu.ru/koi/posob/microcpu/index.html.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</w:t>
      </w:r>
    </w:p>
    <w:p>
      <w:pPr/>
      <w:r>
        <w:rPr/>
        <w:t xml:space="preserve">Internet Explorer, Mozilla Firefox, Opera и др.</w:t>
      </w:r>
    </w:p>
    <w:p>
      <w:pPr/>
      <w:r>
        <w:rPr/>
        <w:t xml:space="preserve"> </w:t>
      </w:r>
    </w:p>
    <w:p>
      <w:pPr/>
      <w:r>
        <w:rPr/>
        <w:t xml:space="preserve">Операционные системы GNU/Linux, Windows, интегрированные среды разработки Arduino IDE и Eclipse IDE для программирования микроконтроллерных плат Intel Galileo.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Документация для платы Intel Galileo – https://software.intel.com/ru-ru/iot/hardware/galileo/documentation</w:t>
      </w:r>
    </w:p>
    <w:p>
      <w:pPr>
        <w:numPr>
          <w:ilvl w:val="0"/>
          <w:numId w:val="5"/>
        </w:numPr>
      </w:pPr>
      <w:r>
        <w:rPr/>
        <w:t xml:space="preserve">Документация на различные датчики – http://wiki.seeedstudio.com/Sensor/</w:t>
      </w:r>
    </w:p>
    <w:p>
      <w:pPr/>
      <w:r>
        <w:rPr/>
        <w:t xml:space="preserve"> 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97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A89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95B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9E07F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3C3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9D1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DD06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2026-04-21T07:24:19+03:00</dcterms:created>
  <dcterms:modified xsi:type="dcterms:W3CDTF">2026-04-21T07:24:19+03:00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