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ВЫПОЛНЕНИЕ И ЗАЩИТА ВЫПУСКНОЙ КВАЛИФИКАЦИОННОЙ РАБОТЫ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Тихомиров Александр Андреевич, заведующий кафедрой, кафедра информационно-измерительных систем, электроники и автоматики; доцент, отдел подготовки и аттестации НПР, кандидат физико-математических наук, доцент; Олещук Олег Валентинович, инженер 2 категории, кафедра информационно-измерительных систем, электроники и автоматики; доцент, отдел подготовки и аттестации НПР, кандидат физико-математических наук; Токко Ольга Владимировна, доцент, кафедра физики твердого тела; доцент, кафедра информационно-измерительных систем, электроники и автоматики,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</w:t>
            </w:r>
          </w:p>
          <w:p/>
          <w:p>
            <w:pPr/>
            <w:r>
              <w:rPr/>
              <w:t xml:space="preserve">УК-5.2. Выбор способов интеграции работников, принадлежащих к разным культурам, в производственную команду</w:t>
            </w:r>
          </w:p>
          <w:p/>
          <w:p>
            <w:pPr/>
            <w:r>
              <w:rPr/>
              <w:t xml:space="preserve">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</w:t>
            </w:r>
          </w:p>
          <w:p/>
          <w:p>
            <w:pPr/>
            <w:r>
              <w:rPr/>
              <w:t xml:space="preserve">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проблем, определять пути их решения и оценивать эффективность сделанного выбора.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Демонстрирует понимание тенденций и перспектив развития  электроники и наноэлектроники, а также  смежных областей науки и техники в профессиональной сфере деятельности;</w:t>
            </w:r>
          </w:p>
          <w:p/>
          <w:p>
            <w:pPr/>
            <w:r>
              <w:rPr/>
              <w:t xml:space="preserve">ОПК-1.2. Использует передовой отечественный и зарубежный опыт для решения научно-исследовательских задач в профессиональной 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методы исследования, представлять и аргументировано защищать результаты выполненной работы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Демонстрирует понимание методов синтеза и исследований моделей объектов  в профессиональной сфере деятельности;</w:t>
            </w:r>
          </w:p>
          <w:p/>
          <w:p>
            <w:pPr/>
            <w:r>
              <w:rPr/>
              <w:t xml:space="preserve">ОПК-2.2. Обосновывает задачи исследований и оптимизации сложных объектов на основе методов математического моделирования;</w:t>
            </w:r>
          </w:p>
          <w:p/>
          <w:p>
            <w:pPr/>
            <w:r>
              <w:rPr/>
              <w:t xml:space="preserve">ОПК-2.3. Выполняет методологический анализ научного исследования и его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</w:t>
            </w:r>
          </w:p>
          <w:p/>
          <w:p>
            <w:pPr/>
            <w:r>
              <w:rPr/>
              <w:t xml:space="preserve">Демонстрирует понимание типовых этапов инновационной деятельности  и трансфера технологий;</w:t>
            </w:r>
          </w:p>
          <w:p/>
          <w:p>
            <w:pPr/>
            <w:r>
              <w:rPr/>
              <w:t xml:space="preserve">ОПК-3.2. Использует современные информационные  технологии, способствующие повышению эффективности научной деятельности;</w:t>
            </w:r>
          </w:p>
          <w:p/>
          <w:p>
            <w:pPr/>
            <w:r>
              <w:rPr/>
              <w:t xml:space="preserve">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специализированное программно-математическое обеспечение для проведения исследований и решения инженерных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Выбирает методы расчета и проектирования объектов профессиональной деятельности;</w:t>
            </w:r>
          </w:p>
          <w:p/>
          <w:p>
            <w:pPr/>
            <w:r>
              <w:rPr/>
              <w:t xml:space="preserve">ОПК-4.2. Выбирает оптимальные прикладные программные пакеты моделирования и  проектирования для решения научно-исследовательских задач в сфере профессиональной деятельности;</w:t>
            </w:r>
          </w:p>
          <w:p/>
          <w:p>
            <w:pPr/>
            <w:r>
              <w:rPr/>
              <w:t xml:space="preserve">ОПК-4.3. Участвует  в разработке математических моделей объектов профессиональной деятельности с  использованием прикладных программных пакетов.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эффективные алгоритмы решения сформулированных задач по определенной тематике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Обосновывает выбор эффективных алгоритмов решения научно- исследовательских и инженерных задач с использованием современных прикладных программных пакетов;</w:t>
            </w:r>
          </w:p>
          <w:p/>
          <w:p>
            <w:pPr/>
            <w:r>
              <w:rPr/>
              <w:t xml:space="preserve">ПК-2.2. Демонстрирует понимание стратегии и методологии  роектирования в сфере профессиональной деятельности;</w:t>
            </w:r>
          </w:p>
          <w:p/>
          <w:p>
            <w:pPr/>
            <w:r>
              <w:rPr/>
              <w:t xml:space="preserve">ПК-2.3. Осваивать методы использования информационных средств и программно-аппаратных комплексов для решения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управлении исследованиями по отдельным задачам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Демонстрирует понимание принципов планирования и выбора методов исследований в сфере профессиональной деятельности;</w:t>
            </w:r>
          </w:p>
          <w:p/>
          <w:p>
            <w:pPr/>
            <w:r>
              <w:rPr/>
              <w:t xml:space="preserve">ПК-3.2. Участвует в подготовке заявок на изобретения и оформлении документации;</w:t>
            </w:r>
          </w:p>
          <w:p/>
          <w:p>
            <w:pPr/>
            <w:r>
              <w:rPr/>
              <w:t xml:space="preserve">ПК-3.3. Выполняет сбор и анализ научно- технической информации в соответствующей области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организацию выполнения работ по проектированию аналогового сложнофункциональногоблока (СФ-блока)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Читает и интерпретирует требования системного уровня, спецификацию, документацию по разработке и внедрению сложнофункциональных блоков;</w:t>
            </w:r>
          </w:p>
          <w:p/>
          <w:p>
            <w:pPr/>
            <w:r>
              <w:rPr/>
              <w:t xml:space="preserve">ПК-1.2. Анализирует функциональные возможности и способы использования программных пакетов системы автоматизированного проектирования микроэлектроники на главных этапах процессов проектирования аналогового СФ-блоков;</w:t>
            </w:r>
          </w:p>
          <w:p/>
          <w:p>
            <w:pPr/>
            <w:r>
              <w:rPr/>
              <w:t xml:space="preserve">ПК-1.3. Проектирует аналоговые системы на базе принципа модульности;</w:t>
            </w:r>
          </w:p>
          <w:p/>
          <w:p>
            <w:pPr/>
            <w:r>
              <w:rPr/>
              <w:t xml:space="preserve">ПК-1.4. Знает характеристики процесса аналогового проектирования, методы и этапы проектирования, особенности представления схем на различных этапах проектирования, принципы построения физических и поведенческих моделей, их применимость к конкретным процессам и приборам;</w:t>
            </w:r>
          </w:p>
          <w:p/>
          <w:p>
            <w:pPr/>
            <w:r>
              <w:rPr/>
              <w:t xml:space="preserve">ПК-1.5. Знает характеристики современных систем автоматизированного проектирования микроэлектроники и методы решения задач технологического и схемотехнического проектирования СФ-блока;</w:t>
            </w:r>
          </w:p>
          <w:p/>
          <w:p>
            <w:pPr/>
            <w:r>
              <w:rPr/>
              <w:t xml:space="preserve">ПК-1.6. Определяет области применения и особенности использования аналоговых устройств.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Выполнение и защита выпускной квалификационной работы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F4C1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2026-04-21T02:08:42+03:00</dcterms:created>
  <dcterms:modified xsi:type="dcterms:W3CDTF">2026-04-21T02:08:42+03:00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