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</w:t>
            </w:r>
          </w:p>
          <w:p/>
          <w:p>
            <w:pPr/>
            <w:r>
              <w:rPr/>
              <w:t xml:space="preserve">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</w:t>
            </w:r>
          </w:p>
          <w:p/>
          <w:p>
            <w:pPr/>
            <w:r>
              <w:rPr/>
              <w:t xml:space="preserve">ПК-2.2. Демонстрирует понимание стратегии и методологии  роектирования в сфере профессиональной деятельности;</w:t>
            </w:r>
          </w:p>
          <w:p/>
          <w:p>
            <w:pPr/>
            <w:r>
              <w:rPr/>
              <w:t xml:space="preserve">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</w:t>
            </w:r>
          </w:p>
          <w:p/>
          <w:p>
            <w:pPr/>
            <w:r>
              <w:rPr/>
              <w:t xml:space="preserve">ПК-3.2. Участвует в подготовке заявок на изобретения и оформлении документации;</w:t>
            </w:r>
          </w:p>
          <w:p/>
          <w:p>
            <w:pPr/>
            <w:r>
              <w:rPr/>
              <w:t xml:space="preserve">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EE0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2026-04-21T03:58:42+03:00</dcterms:created>
  <dcterms:modified xsi:type="dcterms:W3CDTF">2026-04-21T03:58:42+03:00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