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Машинная графика (Н), Водоснабжение и водоотведение (О), Электроснабжение (О), Основы архитектуры и строительных конструкций (НО), Архитектура гражданских и промышленных зданий и сооружений (архитектура) (О), Теплоснабжение, газоснабжение и вентиляция (О), Производственная исполнительская практика (О), Информационное моделирование зданий в строительстве (О), Подготовка к процедуре защиты и защита ВКР (И), Инженерно-конструктивное моделирование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Сочетание клавиш. Понятие уровень, рабочая плоскость,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Сочетание клавиш. Понятие уровень, рабочая плоскость,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проектав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 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https://biblioclub.ru/index.php?page=book&amp;id=499676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03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FB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7A1B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8C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1D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3B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2F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C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9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4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F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B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9B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D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F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FB7C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