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МИКРОПРОЦЕССОРНАЯ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Ершова Наталья Юрьевна,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руководитель,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программ ДПО, Дизайн-центр разработки и прототипирования микроэлектронных систем ПетрГУ,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Программное обеспечение мехатронных и робототехнических систем (ОИ), Подготовка к процедуре защиты и защита ВКР (И), Алгоритмическое программирование (Н), Проектирование промышленных роботов-манипуляторов (ОИ), Микропроцессорная техника (О), Системы искусственного интеллекта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Микропроцессорная техника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Программное обеспечение мехатронных и робототехнических систем, Алгоритмическое программирование.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МП средств в иерархии средств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ввода/вывода в МПС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функционально-структурной организации микроконтроллера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Микропроцессоры (МП), микроЭВМ и микропроцессорные системы - основные определения и классификация. Архитектура типового микропроцессора Место МП средств в иерархии средств вычислительной техники. Основные направления применения МП Структурная схема микрокомпьютера Обработка информации в МП. Управление процессом обработки  МП с жестким управлением и микропрограммные МП Организация логической структуры МП  Архитектура МП. Типы архитектуры МП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памяти. Классификация памяти. Постоянная память. Динамическая оперативная память. Статичская оперативная память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и основные характеристики периферийного оборудования МПС. Контроллеры. Программная модель контроллера ввода/вывода  Два формата обмена данными Типы интерфейсных схем: параллельный и последовательный контроллеры ввода/вывода, структурные схемы, режимы работы и особенности использования в МПС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 режиме прерывания. Программные и аппаратные средства, обеспечивающие обмен в режиме прерывания   Обмен в режиме прямого доступа (РПД) к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Модульный принцип построения микроконтроллеров Микроконтроллеры: определение, применение Современные 8-разрядные RISC микроконтроллеры. Микроконтроллеры AVR фирмы ATMEL Архитектура микроконтроллеров AVR  Распределение памяти в AtMega16. Режимы адресации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 AtMega16. Внешние прерывания Аналого-цифровое преобразование. Основные характеристики и типы АЦП Аналого-цифровой преобразователь МК AtMega16 Общие принципы программирования микроконтроллеров Микроконтроллер против программируемого логического контроллера: подробное сравнение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автоматизированных систем. ГОСТ на разработку автоматизированных систем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AVR-Studio: режим симуляции. Система команд микроконтроллера AtMega16. Способы адресации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Загрузка программы в микроконтроллер. Работа с программным обеспечением AVR-Studio. Параллельные порты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памяти МК AtMega16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Внешние прерывания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Таймер/счётчики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АЦП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кэш-памяти разных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 флэш-памяти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реализацию модульного принципа построения микроконтроллеров на примере современных микроконтроллеров разных фирм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архитектуру, систему команд и особенности программирования встроенных устройств микроконтроллера AtMega16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проект МПС (2 уровня: «черный» ящик и структурный)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Активно используются: лекции с использованием мультимедийных технологий, проблемное обучение, практические занятия, метод проектов, тестирование, БРС, самостоятельная работа студентов.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Основы работы с AVR-Studio: режим симуляции. Система команд микроконтроллера AtMega16. Способы адресации данных</w:t>
      </w:r>
    </w:p>
    <w:p>
      <w:pPr>
        <w:numPr>
          <w:ilvl w:val="0"/>
          <w:numId w:val="1"/>
        </w:numPr>
      </w:pPr>
      <w:r>
        <w:rPr/>
        <w:t xml:space="preserve">Загрузка программы в микроконтроллер. Работа с программным обеспечением AVR-Studio. Параллельные порты ввода/вывода</w:t>
      </w:r>
    </w:p>
    <w:p>
      <w:pPr>
        <w:numPr>
          <w:ilvl w:val="0"/>
          <w:numId w:val="1"/>
        </w:numPr>
      </w:pPr>
      <w:r>
        <w:rPr/>
        <w:t xml:space="preserve">Организация памяти МК AtMega16</w:t>
      </w:r>
    </w:p>
    <w:p>
      <w:pPr>
        <w:numPr>
          <w:ilvl w:val="0"/>
          <w:numId w:val="1"/>
        </w:numPr>
      </w:pPr>
      <w:r>
        <w:rPr/>
        <w:t xml:space="preserve">Система прерываний. Внешние прерывания</w:t>
      </w:r>
    </w:p>
    <w:p>
      <w:pPr>
        <w:numPr>
          <w:ilvl w:val="0"/>
          <w:numId w:val="1"/>
        </w:numPr>
      </w:pPr>
      <w:r>
        <w:rPr/>
        <w:t xml:space="preserve">Система прерываний. Таймер/счётчики</w:t>
      </w:r>
    </w:p>
    <w:p>
      <w:pPr>
        <w:numPr>
          <w:ilvl w:val="0"/>
          <w:numId w:val="1"/>
        </w:numPr>
      </w:pPr>
      <w:r>
        <w:rPr/>
        <w:t xml:space="preserve">Система прерываний. АЦП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Собеседование </w:t>
      </w:r>
      <w:r>
        <w:rPr/>
        <w:t xml:space="preserve">по выполненным лабораторным работам по темам:</w:t>
      </w:r>
    </w:p>
    <w:p>
      <w:pPr>
        <w:numPr>
          <w:ilvl w:val="0"/>
          <w:numId w:val="2"/>
        </w:numPr>
      </w:pPr>
      <w:r>
        <w:rPr/>
        <w:t xml:space="preserve">Организация обслуживания запросов прерывания от внутренних устройств МК-96 программируемым контроллером прерываний.</w:t>
      </w:r>
    </w:p>
    <w:p>
      <w:pPr>
        <w:numPr>
          <w:ilvl w:val="0"/>
          <w:numId w:val="2"/>
        </w:numPr>
      </w:pPr>
      <w:r>
        <w:rPr/>
        <w:t xml:space="preserve">Система команд микроконтроллера AtMega16. Способы адресации данных.</w:t>
      </w:r>
    </w:p>
    <w:p>
      <w:pPr>
        <w:numPr>
          <w:ilvl w:val="0"/>
          <w:numId w:val="2"/>
        </w:numPr>
      </w:pPr>
      <w:r>
        <w:rPr/>
        <w:t xml:space="preserve">Особенности программного обеспечения AVR-Studio. Параллельные порты ввода/вывода AtMega16.</w:t>
      </w:r>
    </w:p>
    <w:p>
      <w:pPr>
        <w:numPr>
          <w:ilvl w:val="0"/>
          <w:numId w:val="2"/>
        </w:numPr>
      </w:pPr>
      <w:r>
        <w:rPr/>
        <w:t xml:space="preserve">Организация памяти МК AtMega16.</w:t>
      </w:r>
    </w:p>
    <w:p>
      <w:pPr>
        <w:numPr>
          <w:ilvl w:val="0"/>
          <w:numId w:val="2"/>
        </w:numPr>
      </w:pPr>
      <w:r>
        <w:rPr/>
        <w:t xml:space="preserve">Система прерываний. Внешние прерывания AtMega16</w:t>
      </w:r>
    </w:p>
    <w:p>
      <w:pPr>
        <w:numPr>
          <w:ilvl w:val="0"/>
          <w:numId w:val="2"/>
        </w:numPr>
      </w:pPr>
      <w:r>
        <w:rPr/>
        <w:t xml:space="preserve">Система прерываний. Таймер/счётчики AtMega16.</w:t>
      </w:r>
    </w:p>
    <w:p>
      <w:pPr>
        <w:numPr>
          <w:ilvl w:val="0"/>
          <w:numId w:val="2"/>
        </w:numPr>
      </w:pPr>
      <w:r>
        <w:rPr/>
        <w:t xml:space="preserve">Система прерываний. АЦП AtMega16.</w:t>
      </w:r>
    </w:p>
    <w:p>
      <w:pPr/>
      <w:r>
        <w:rPr>
          <w:b w:val="1"/>
          <w:bCs w:val="1"/>
          <w:i w:val="1"/>
          <w:iCs w:val="1"/>
        </w:rPr>
        <w:t xml:space="preserve">Критерии оценки собеседования по теме лабораторного занятия:</w:t>
      </w:r>
    </w:p>
    <w:p>
      <w:pPr>
        <w:numPr>
          <w:ilvl w:val="0"/>
          <w:numId w:val="3"/>
        </w:numPr>
      </w:pPr>
      <w:r>
        <w:rPr/>
        <w:t xml:space="preserve">Соответствие ответа поставленному вопросу, полнота ответа – 0–1 балл.</w:t>
      </w:r>
    </w:p>
    <w:p>
      <w:pPr>
        <w:numPr>
          <w:ilvl w:val="0"/>
          <w:numId w:val="3"/>
        </w:numPr>
      </w:pPr>
      <w:r>
        <w:rPr/>
        <w:t xml:space="preserve">Содержание ответа:</w:t>
      </w:r>
    </w:p>
    <w:p>
      <w:pPr>
        <w:numPr>
          <w:ilvl w:val="1"/>
          <w:numId w:val="3"/>
        </w:numPr>
      </w:pPr>
      <w:r>
        <w:rPr/>
        <w:t xml:space="preserve">Ответ подготовлен по материалам лекции – 0,5 балла.</w:t>
      </w:r>
    </w:p>
    <w:p>
      <w:pPr>
        <w:numPr>
          <w:ilvl w:val="1"/>
          <w:numId w:val="3"/>
        </w:numPr>
      </w:pPr>
      <w:r>
        <w:rPr/>
        <w:t xml:space="preserve">Ответ подготовлен с использованием дополнительного материала – 0–2 балла.</w:t>
      </w:r>
    </w:p>
    <w:p>
      <w:pPr>
        <w:numPr>
          <w:ilvl w:val="0"/>
          <w:numId w:val="3"/>
        </w:numPr>
      </w:pPr>
      <w:r>
        <w:rPr/>
        <w:t xml:space="preserve">Ответ самостоятельный, без использования конспекта и наводящих вопросов – 0–1 балл.</w:t>
      </w:r>
    </w:p>
    <w:p>
      <w:pPr/>
      <w:r>
        <w:rPr/>
        <w:t xml:space="preserve">За дополнения к ответу – 0,5 балла.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ТестТест «Микропроцессоры» на IQ. Критерий оценки – балл не ниже 4.0.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 «Микропроцессоры» на IQ. Критерий оценки – балл не ниже 4.0.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занятиях по дисциплине «Микропроцессорная техника»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«Микропроцессорная техника».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  рейтинговой оценки на промежуточной аттестации по дисциплине в семестре.</w:t>
      </w:r>
    </w:p>
    <w:p>
      <w:pPr/>
      <w:r>
        <w:rPr/>
        <w:t xml:space="preserve">На первой лекции студенты знакомятся с системой балльно-рейтинговой оценки.</w:t>
      </w:r>
    </w:p>
    <w:p>
      <w:pPr/>
      <w:r>
        <w:rPr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numPr>
          <w:ilvl w:val="0"/>
          <w:numId w:val="4"/>
        </w:numPr>
      </w:pPr>
      <w:r>
        <w:rPr/>
        <w:t xml:space="preserve">За посещение лекций и лабораторных занятий – 1 балл.</w:t>
      </w:r>
    </w:p>
    <w:p>
      <w:pPr>
        <w:numPr>
          <w:ilvl w:val="0"/>
          <w:numId w:val="4"/>
        </w:numPr>
      </w:pPr>
      <w:r>
        <w:rPr/>
        <w:t xml:space="preserve">За непосещение лекций – 0 баллов</w:t>
      </w:r>
    </w:p>
    <w:p>
      <w:pPr>
        <w:numPr>
          <w:ilvl w:val="0"/>
          <w:numId w:val="4"/>
        </w:numPr>
      </w:pPr>
      <w:r>
        <w:rPr/>
        <w:t xml:space="preserve">За непосещение лабораторных занятий – (–1) балл</w:t>
      </w:r>
    </w:p>
    <w:p>
      <w:pPr>
        <w:numPr>
          <w:ilvl w:val="0"/>
          <w:numId w:val="4"/>
        </w:numPr>
      </w:pPr>
      <w:r>
        <w:rPr/>
        <w:t xml:space="preserve">За непредставление отчета в установленный срок (на следующей, после выполнения работы, неделе) – (–1) балл в неделю</w:t>
      </w:r>
    </w:p>
    <w:p>
      <w:pPr/>
      <w:r>
        <w:rPr/>
        <w:t xml:space="preserve">(При несданных двух работах к выполнению третьей работы студент не допускается.)</w:t>
      </w:r>
    </w:p>
    <w:p>
      <w:pPr/>
      <w:r>
        <w:rPr>
          <w:i w:val="1"/>
          <w:iCs w:val="1"/>
        </w:rPr>
        <w:t xml:space="preserve">Итого: минимальное количество баллов – 13, максимальное – 26.</w:t>
      </w:r>
    </w:p>
    <w:p>
      <w:pPr/>
      <w:r>
        <w:rPr>
          <w:b w:val="1"/>
          <w:bCs w:val="1"/>
          <w:i w:val="1"/>
          <w:iCs w:val="1"/>
        </w:rPr>
        <w:t xml:space="preserve">Критерии оценки устного ответа на лабораторных занятиях:</w:t>
      </w:r>
    </w:p>
    <w:p>
      <w:pPr>
        <w:numPr>
          <w:ilvl w:val="0"/>
          <w:numId w:val="5"/>
        </w:numPr>
      </w:pPr>
      <w:r>
        <w:rPr/>
        <w:t xml:space="preserve">Соответствие ответа поставленному вопросу, полнота ответа – 0–1 балл.</w:t>
      </w:r>
    </w:p>
    <w:p>
      <w:pPr>
        <w:numPr>
          <w:ilvl w:val="0"/>
          <w:numId w:val="5"/>
        </w:numPr>
      </w:pPr>
      <w:r>
        <w:rPr/>
        <w:t xml:space="preserve">Содержание ответа:</w:t>
      </w:r>
    </w:p>
    <w:p>
      <w:pPr>
        <w:numPr>
          <w:ilvl w:val="1"/>
          <w:numId w:val="5"/>
        </w:numPr>
      </w:pPr>
      <w:r>
        <w:rPr/>
        <w:t xml:space="preserve">Ответ подготовлен по материалам лекции – 0,5 балла.</w:t>
      </w:r>
    </w:p>
    <w:p>
      <w:pPr>
        <w:numPr>
          <w:ilvl w:val="1"/>
          <w:numId w:val="5"/>
        </w:numPr>
      </w:pPr>
      <w:r>
        <w:rPr/>
        <w:t xml:space="preserve">Ответ подготовлен с использованием дополнительного материала – 0–2 балла.</w:t>
      </w:r>
    </w:p>
    <w:p>
      <w:pPr>
        <w:numPr>
          <w:ilvl w:val="0"/>
          <w:numId w:val="5"/>
        </w:numPr>
      </w:pPr>
      <w:r>
        <w:rPr/>
        <w:t xml:space="preserve">Ответ самостоятельный, без использования конспекта и наводящих вопросов – 0–1 балл.</w:t>
      </w:r>
    </w:p>
    <w:p>
      <w:pPr/>
      <w:r>
        <w:rPr/>
        <w:t xml:space="preserve">За дополнения к ответу – 0,5 балла.</w:t>
      </w:r>
    </w:p>
    <w:p>
      <w:pPr/>
      <w:r>
        <w:rPr>
          <w:b w:val="1"/>
          <w:bCs w:val="1"/>
          <w:i w:val="1"/>
          <w:iCs w:val="1"/>
        </w:rPr>
        <w:t xml:space="preserve">Критерии оценки самостоятельной домашней работы для лабораторных занятий:</w:t>
      </w:r>
    </w:p>
    <w:p>
      <w:pPr>
        <w:numPr>
          <w:ilvl w:val="0"/>
          <w:numId w:val="6"/>
        </w:numPr>
      </w:pPr>
      <w:r>
        <w:rPr/>
        <w:t xml:space="preserve">Выполнение лабораторной работы на занятии с предъявлением текста программы с комментариями – 1 балл.</w:t>
      </w:r>
    </w:p>
    <w:p>
      <w:pPr>
        <w:numPr>
          <w:ilvl w:val="0"/>
          <w:numId w:val="6"/>
        </w:numPr>
      </w:pPr>
      <w:r>
        <w:rPr/>
        <w:t xml:space="preserve">Ответы на контрольные вопросы без использования конспекта и наводящих вопросов – 1 балл.</w:t>
      </w:r>
    </w:p>
    <w:p>
      <w:pPr/>
      <w:r>
        <w:rPr/>
        <w:t xml:space="preserve">За дополнения к ответу – 0,5 балла.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7"/>
        </w:numPr>
      </w:pPr>
      <w:r>
        <w:rPr/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7"/>
        </w:numPr>
      </w:pPr>
      <w:r>
        <w:rPr/>
        <w:t xml:space="preserve">систему on-line тестирования знаний и умений студентов iq.karelia.ru (IQ);</w:t>
      </w:r>
    </w:p>
    <w:p>
      <w:pPr>
        <w:numPr>
          <w:ilvl w:val="0"/>
          <w:numId w:val="7"/>
        </w:numPr>
      </w:pPr>
      <w:r>
        <w:rPr/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7"/>
        </w:numPr>
      </w:pPr>
      <w:r>
        <w:rPr/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7"/>
        </w:numPr>
      </w:pPr>
      <w:r>
        <w:rPr/>
        <w:t xml:space="preserve">систему поддержки инфраструктуры Wi-Fi сегмента КВС ПетрГУ учебно-лабораторных корпусов ФТФ.</w:t>
      </w:r>
    </w:p>
    <w:p>
      <w:pPr/>
      <w:r>
        <w:rPr/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/>
      <w:r>
        <w:rPr/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/>
      <w:r>
        <w:rPr/>
        <w:t xml:space="preserve">Взаимодействие с подсистемой on-line тестирования знаний IQ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/>
      <w:r>
        <w:rPr/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/>
      <w:r>
        <w:rPr/>
        <w:t xml:space="preserve">Благодаря интеграции системы «Кондуиты» с инфраструктурой беспроводного сегмента локальной сети ПетрГУ значительно повышается мобильность пользователей системы. Например, сервис оповещения студентов о полученных ими баллах предоставляет возможность практически в реальном времени отправлять уведомления о таких событиях на зарегистрированные в сегменте Wi-Fi мобильные устройства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Микропроцессоры [Электронный ресурс]. – Режим доступа: </w:t>
      </w:r>
      <w:hyperlink r:id="rId7" w:history="1">
        <w:r>
          <w:rPr/>
          <w:t xml:space="preserve">https://dims.petrsu.ru/posob/microcpu/</w:t>
        </w:r>
      </w:hyperlink>
    </w:p>
    <w:p>
      <w:pPr>
        <w:numPr>
          <w:ilvl w:val="0"/>
          <w:numId w:val="8"/>
        </w:numPr>
      </w:pPr>
      <w:r>
        <w:rPr/>
        <w:t xml:space="preserve">Основы вычислительных систем (учебно-методическое пособие) URL: https://elibrary.petrsu.ru/books/64928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Баранов В. Н. Применение микроконтроллеров AVR: схемы, алгоритмы, программы. – Додэка, 2004.</w:t>
      </w:r>
    </w:p>
    <w:p>
      <w:pPr>
        <w:numPr>
          <w:ilvl w:val="0"/>
          <w:numId w:val="9"/>
        </w:numPr>
      </w:pPr>
      <w:r>
        <w:rPr/>
        <w:t xml:space="preserve">Трамперт В. AVR-RISC Микроконтроллеры. Архитектура, аппаратные ресурсы, система команд, программирование, применение. – МК-Пресс, 2006. – 464 с.</w:t>
      </w:r>
    </w:p>
    <w:p>
      <w:pPr>
        <w:numPr>
          <w:ilvl w:val="0"/>
          <w:numId w:val="9"/>
        </w:numPr>
      </w:pPr>
      <w:r>
        <w:rPr/>
        <w:t xml:space="preserve">Голубцов М. С., Кириченкова А. В. Микроконтроллеры AVR: от простого к сложному – диск CD. – Солон, 2005. – 302 с.</w:t>
      </w:r>
    </w:p>
    <w:p>
      <w:pPr>
        <w:numPr>
          <w:ilvl w:val="0"/>
          <w:numId w:val="9"/>
        </w:numPr>
      </w:pPr>
      <w:r>
        <w:rPr/>
        <w:t xml:space="preserve">Бойко В. И. Схемотехника электронных систем. Микропроцессоры и микроконтроллеры. – БХВ-Петербург,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Программная среда разработки AVR Studio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Микропроцессорная техника: </w:t>
      </w:r>
      <w:hyperlink r:id="rId8" w:history="1">
        <w:r>
          <w:rPr/>
          <w:t xml:space="preserve">https://edu.petrsu.ru/object/5620</w:t>
        </w:r>
      </w:hyperlink>
      <w:r>
        <w:rPr/>
        <w:t xml:space="preserve">;</w:t>
      </w:r>
    </w:p>
    <w:p>
      <w:pPr>
        <w:numPr>
          <w:ilvl w:val="0"/>
          <w:numId w:val="10"/>
        </w:numPr>
      </w:pPr>
      <w:r>
        <w:rPr/>
        <w:t xml:space="preserve">Микропроцессоры: </w:t>
      </w:r>
      <w:hyperlink r:id="rId9" w:history="1">
        <w:r>
          <w:rPr/>
          <w:t xml:space="preserve">https://edu.petrsu.ru/object/2766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5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FE4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F2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7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40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98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F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E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182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35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6C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ms.petrsu.ru/posob/microcpu/" TargetMode="External"/><Relationship Id="rId8" Type="http://schemas.openxmlformats.org/officeDocument/2006/relationships/hyperlink" Target="https://edu.petrsu.ru/object/5620" TargetMode="External"/><Relationship Id="rId9" Type="http://schemas.openxmlformats.org/officeDocument/2006/relationships/hyperlink" Target="https://edu.petrsu.ru/object/2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2026-04-23T19:26:05+03:00</dcterms:created>
  <dcterms:modified xsi:type="dcterms:W3CDTF">2026-04-23T19:26:05+03:00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