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Готовность к проведению работ по техническому обслуживанию и ремонту сельскохозяйственной техники</w:t>
            </w:r>
          </w:p>
        </w:tc>
        <w:tc>
          <w:tcPr>
            <w:tcW w:w="3100" w:type="dxa"/>
            <w:noWrap/>
          </w:tcPr>
          <w:p>
            <w:pPr/>
            <w:r>
              <w:rPr/>
              <w:t xml:space="preserve">ПК-2.1. Знает нормативную и техническую документацию по эксплуатации и ТО с.х. техники;</w:t>
            </w:r>
          </w:p>
          <w:p/>
          <w:p>
            <w:pPr/>
            <w:r>
              <w:rPr/>
              <w:t xml:space="preserve">ПК-2.2. Знает назначение и порядок использования расходных материалов, инструмента, оборудования, средств индивидуальной защиты, необходимых для выполнения работ;</w:t>
            </w:r>
          </w:p>
          <w:p/>
          <w:p>
            <w:pPr/>
            <w:r>
              <w:rPr/>
              <w:t xml:space="preserve">ПК-2.3. Знает порядок ведения учета сельскохозяйственной техники, качества выполняемых подчиненными работ, потребления материальных ресурсов, затрат на ремонт, техническое обслуживание сельскохозяйственной техники;</w:t>
            </w:r>
          </w:p>
          <w:p/>
          <w:p>
            <w:pPr/>
            <w:r>
              <w:rPr/>
              <w:t xml:space="preserve">ПК-2.4. Умеет производить расчет потребности организации в с.х. технике, количество ТО и ремонтов  с.х. техники, числа  и составов специализированных звеньев для их проведения;</w:t>
            </w:r>
          </w:p>
          <w:p/>
          <w:p>
            <w:pPr/>
            <w:r>
              <w:rPr/>
              <w:t xml:space="preserve">ПК-2.5. Умеет читать чертежи узлов и деталей сельскохозяйственной техники;</w:t>
            </w:r>
          </w:p>
          <w:p/>
          <w:p>
            <w:pPr/>
            <w:r>
              <w:rPr/>
              <w:t xml:space="preserve">ПК-2.6. Владеет навыками расчета годового числа технических обслуживаний и ремонтов с.х. техники в организации;</w:t>
            </w:r>
          </w:p>
          <w:p/>
          <w:p>
            <w:pPr/>
            <w:r>
              <w:rPr/>
              <w:t xml:space="preserve"> ПК-2.7. Владеет навыками расчета суммарной трудоемкости работ по ТО и ремонту с.х.техники; </w:t>
            </w:r>
          </w:p>
          <w:p/>
          <w:p>
            <w:pPr/>
            <w:r>
              <w:rPr/>
              <w:t xml:space="preserve">ПК-2.8. Владеет навыками распределения ТО и ремонтов с.х. техники по времени и месту проведения;</w:t>
            </w:r>
          </w:p>
          <w:p/>
          <w:p>
            <w:pPr/>
            <w:r>
              <w:rPr/>
              <w:t xml:space="preserve">ПК-2.9. Владеет навыками составления годового плана-графика по ТО и ремонту с.х.техники;</w:t>
            </w:r>
          </w:p>
          <w:p/>
          <w:p>
            <w:pPr/>
            <w:r>
              <w:rPr/>
              <w:t xml:space="preserve">ПК-2.10. Владеет навыками расчета числа и состава специализированных звеньев по ТО и ремонту с.х. техники.</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Готовность организовывать работу исполнителей, находить и принимать решения  в области организации и нормирования труда</w:t>
            </w:r>
          </w:p>
        </w:tc>
        <w:tc>
          <w:tcPr>
            <w:tcW w:w="3100" w:type="dxa"/>
            <w:noWrap/>
          </w:tcPr>
          <w:p>
            <w:pPr/>
            <w:r>
              <w:rPr/>
              <w:t xml:space="preserve">ПК-6.1. Знает единую систему конструкторской документации;</w:t>
            </w:r>
          </w:p>
          <w:p/>
          <w:p>
            <w:pPr/>
            <w:r>
              <w:rPr/>
              <w:t xml:space="preserve">ПК-6.2. Умеет документально оформлять результаты проделанной работы;</w:t>
            </w:r>
          </w:p>
          <w:p/>
          <w:p>
            <w:pPr/>
            <w:r>
              <w:rPr/>
              <w:t xml:space="preserve">ПК-6.3. Владеет навыками анализа причин и продолжительности простоев сельскохозяйственной техники, связанных с ее техническим состоянием.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9</w:t>
            </w:r>
          </w:p>
        </w:tc>
        <w:tc>
          <w:tcPr>
            <w:noWrap/>
          </w:tcPr>
          <w:p>
            <w:pPr>
              <w:jc w:val="left"/>
              <w:ind w:left="0" w:right="0" w:firstLine="0" w:hanging="0"/>
            </w:pPr>
            <w:r>
              <w:rPr/>
              <w:t xml:space="preserve">Защита отчетов по лабораторным работам. Контрольная работа. Промежуточный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21</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Защита отчетов по лабораторным работам. Контрольная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Маркировка и выполнение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 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Марковский процесс гибели и размножения. Расчет характеристик отдельных типов СМО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17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https://moodle2.petrsu.ru/course/view.php?id=664</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r>
        <w:rPr/>
        <w:t xml:space="preserve">1. Найти составную матрицу изменений для сети s1.</w:t>
      </w:r>
    </w:p>
    <w:p>
      <w:pPr/>
      <w:r>
        <w:rPr/>
        <w:t xml:space="preserve">2. Составить граф сети Петри, соответствующий матрице s2.</w:t>
      </w:r>
      <w:br/>
      <w:r>
        <w:rPr/>
        <w:t xml:space="preserve">3. Найти составную матрицу изменений и составить граф объединения сетей .</w:t>
      </w:r>
      <w:br/>
      <w:r>
        <w:rPr/>
        <w:t xml:space="preserve">4. Найти составную матрицу изменений и составить граф пересечения сетей .</w:t>
      </w:r>
      <w:br/>
      <w:r>
        <w:rPr/>
        <w:t xml:space="preserve">5. Найти составную матрицу изменений и составить граф разности сетей .</w:t>
      </w:r>
    </w:p>
    <w:p>
      <w:pPr/>
      <w:r>
        <w:rPr/>
        <w:t xml:space="preserve">Граф сети s1:</w:t>
      </w:r>
    </w:p>
    <w:p>
      <w:pPr/>
    </w:p>
    <w:p>
      <w:pPr/>
      <w:r>
        <w:rPr/>
        <w:t xml:space="preserve">ЗАДАЧА 3</w:t>
      </w:r>
    </w:p>
    <w:p>
      <w:pPr/>
      <w:r>
        <w:rPr/>
        <w:t xml:space="preserve">В среднем на обслуживание одного автомобиля на посту мойки затрачивается 45 минут, а интенсивность поступления автомобилей на пост 0,8 шт./час.</w:t>
      </w:r>
    </w:p>
    <w:p>
      <w:pPr/>
      <w:r>
        <w:rPr/>
        <w:t xml:space="preserve">Определить интенсивность обслуживания, средний промежуток времени между двумя соседними поступлениями автомобилей, среднюю загрузку поста, средний резерв времени на один автомобиль, среднее число автомобилей в очереди, среднее время нахождения автомобиля в ожидании мойки, вероятность простоя поста, вероятность отсутствия очереди и вероятность того, что в очереди будут ожидать более двух автомобилей.</w:t>
      </w:r>
    </w:p>
    <w:p>
      <w:pPr/>
      <w:r>
        <w:rPr/>
        <w:t xml:space="preserve">Поток автомобилей – простейший, а время обслуживания имеет показательный закон распределения.</w:t>
      </w:r>
    </w:p>
    <w:p>
      <w:pPr/>
      <w:r>
        <w:rPr/>
        <w:t xml:space="preserve"> 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w:t>
      </w:r>
      <w:hyperlink r:id="rId7" w:history="1">
        <w:r>
          <w:rPr/>
          <w:t xml:space="preserve">https://moodle2.petrsu.ru/course/view.php?id=664</w:t>
        </w:r>
      </w:hyperlink>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001-16.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Moodle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Соколов А. П. Производственные процессы: Учеб. пособие. Петрозаводск: Изд-во ПетрГУ, 2005. - 152 с.</w:t>
      </w:r>
    </w:p>
    <w:p>
      <w:pPr>
        <w:numPr>
          <w:ilvl w:val="0"/>
          <w:numId w:val="1"/>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2"/>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2"/>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2"/>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2"/>
        </w:numPr>
      </w:pPr>
      <w:r>
        <w:rPr/>
        <w:t xml:space="preserve">Вентцель Е. С. Теория вероятностей: Учебник для студентов вузов. 8-е изд. стер. М.: Высшая школа, 2002. - 575 с.</w:t>
      </w:r>
    </w:p>
    <w:p>
      <w:pPr>
        <w:numPr>
          <w:ilvl w:val="0"/>
          <w:numId w:val="2"/>
        </w:numPr>
      </w:pPr>
      <w:r>
        <w:rPr/>
        <w:t xml:space="preserve">Советов Б. Я.Моделирование систем: Учеб. для вузов. / Б. Я. Советов, С. А. Яковлев.  - М.: Высшая школа, 2001. - 343 с.</w:t>
      </w:r>
    </w:p>
    <w:p>
      <w:pPr>
        <w:numPr>
          <w:ilvl w:val="0"/>
          <w:numId w:val="2"/>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2"/>
        </w:numPr>
      </w:pPr>
      <w:r>
        <w:rPr/>
        <w:t xml:space="preserve">Чернецкий В. И. Математическое моделирование стохастических систем. Петрозаводск: Изд-во ПетрГУ, 1994. - 488 с.</w:t>
      </w:r>
    </w:p>
    <w:p>
      <w:pPr>
        <w:numPr>
          <w:ilvl w:val="0"/>
          <w:numId w:val="2"/>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ARISToolset 5.0</w:t>
      </w:r>
    </w:p>
    <w:p>
      <w:pPr>
        <w:numPr>
          <w:ilvl w:val="0"/>
          <w:numId w:val="3"/>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F9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AD4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F07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5F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2026-04-21T02:07:09+03:00</dcterms:created>
  <dcterms:modified xsi:type="dcterms:W3CDTF">2026-04-21T02:07:09+03:00</dcterms:modified>
</cp:coreProperties>
</file>

<file path=docProps/custom.xml><?xml version="1.0" encoding="utf-8"?>
<Properties xmlns="http://schemas.openxmlformats.org/officeDocument/2006/custom-properties" xmlns:vt="http://schemas.openxmlformats.org/officeDocument/2006/docPropsVTypes"/>
</file>