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РЕКРЕАЦИОННОЕ ЛЕСОВОДСТВО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проведения лесоустройства и формирование предложений для разработки лесного плана субъекта Российской Федерации и лесохозяйственного регламента лесничества, внесения в них изменений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категории защитных лесов; лесоустроительную документацию; особенности проектирования эксплуатационных лесов, защитных лесов, резервных лесов, а также особо защитных участков лесов; правила проведения лесоустройства; приемы и способы проектирования мероприятий по охране, защите и воспроизводству лесов;</w:t>
            </w:r>
          </w:p>
          <w:p/>
          <w:p>
            <w:pPr/>
            <w:r>
              <w:rPr/>
              <w:t xml:space="preserve">ПК-3.2. Умеет вносить текущие изменения в материалы лесоустройства и первичную документацию; определять нормативы, параметры и сроки использования лесов для всех видов использования лесов на территории лесничества; оценивать качество работ по лесоустройству;</w:t>
            </w:r>
          </w:p>
          <w:p/>
          <w:p>
            <w:pPr/>
            <w:r>
              <w:rPr/>
              <w:t xml:space="preserve">ПК-3.3. Владеет навыками использования сведений, содержащихся в ГЛР, материалах лесоустройства лесничества, материалах специальных изысканий и исследований, документах территориального планирования; работы с лесным планом субъекта Российской Федерации и тематическими картами, прилагаемыми к лесному плану; формирования предложений для уполномоченного органа государственной власти субъекта Российской Федерации в области лесных отношений о внесении сведений в лесной план субъекта Российской Федерации и лесохозяйственный регламент лесничества.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Рекреационное лесоводство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287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2026-04-21T07:44:39+03:00</dcterms:created>
  <dcterms:modified xsi:type="dcterms:W3CDTF">2026-04-21T07:44:39+03:00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