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ПРОЕКТНЫХ РЕШЕНИЙ И РЕСТАВРАЦИИ АРХИТЕКТУРНОГО НАСЛЕДИЯ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</w:t>
            </w:r>
          </w:p>
          <w:p/>
          <w:p>
            <w:pPr/>
            <w:r>
              <w:rPr/>
              <w:t xml:space="preserve">ПК-4.2. Знает основы реставрации архитектурного наследия и реконструкции исторической среды;</w:t>
            </w:r>
          </w:p>
          <w:p/>
          <w:p>
            <w:pPr/>
            <w:r>
              <w:rPr/>
              <w:t xml:space="preserve">ПК-4.3. Умеет реконструировать объекты в городском контексте;</w:t>
            </w:r>
          </w:p>
          <w:p/>
          <w:p>
            <w:pPr/>
            <w:r>
              <w:rPr/>
              <w:t xml:space="preserve">ПК-4.4. Владеет приемами и методами реставрационной и реконструкционной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проектных решений и реставрации архитектурного наследия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DBD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2026-04-21T12:49:14+03:00</dcterms:created>
  <dcterms:modified xsi:type="dcterms:W3CDTF">2026-04-21T12:49:14+03:00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