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 и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сесии семестра еженедельно, лабораторные занятия проходят по подгруппам. Лабораторные занятия проходят 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постоянно проводится контроль посещаемости.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6E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3D0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A28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C5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A7E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