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Теория машин и механизмов (О), Электротехника (О), Гидравлика (О), Теплотехника (О), Математические методы и модели в расчетах на ЭВМ (О), Моделирование производственных процессов (О), Статистическая обработка экспериментальных данных (О), Физика (НО), Теоретическая механика (Н), Химия (Н), Сопротивление материалов (НО), Преддипломная практика (И), Математика (Н), Материаловедение (НО), Технология конструкционных материалов (НО), Подготовка к процедуре защиты и защита ВКР (И), Инженерная графика (Н).</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Автоматика и автоматизация производственных процессов (О), Гидравлика (О), Детали машин и основы конструирования (О), Теоретическая механика (Н), Введение в профессиональную деятельность (О), Информатика (О), Управление техническими системами (О), Математика (Н), Подготовка к процедуре защиты и защита ВКР (И), Производственная практика (О), Производственная практика (О), Теория принятия оптимальных решений (О), Инженерная графика (Н), Логистика (О).</w:t>
            </w:r>
          </w:p>
        </w:tc>
        <w:tc>
          <w:tcPr>
            <w:tcW w:w="3100" w:type="dxa"/>
            <w:noWrap/>
          </w:tcPr>
          <w:p>
            <w:pPr/>
            <w:r>
              <w:rPr/>
              <w:t xml:space="preserve">ОПК-6.1. Знает основы информатики;</w:t>
            </w:r>
          </w:p>
          <w:p/>
          <w:p>
            <w:pPr/>
            <w:r>
              <w:rPr/>
              <w:t xml:space="preserve">ОПК-6.2. Знает принципы организации, хранения, представления данных;</w:t>
            </w:r>
          </w:p>
          <w:p/>
          <w:p>
            <w:pPr/>
            <w:r>
              <w:rPr/>
              <w:t xml:space="preserve">ОПК-6.3. Знает методы поиска, сбора, хранения, обработки, предоставления, передачи информации при решении задач профессиональной деятельности;</w:t>
            </w:r>
          </w:p>
          <w:p/>
          <w:p>
            <w:pPr/>
            <w:r>
              <w:rPr/>
              <w:t xml:space="preserve">ОПК-6.4. Знает принципы информационной безопасности;</w:t>
            </w:r>
          </w:p>
          <w:p/>
          <w:p>
            <w:pPr/>
            <w:r>
              <w:rPr/>
              <w:t xml:space="preserve">ОПК-6.4. Умеет выбирать и использовать методы и технологии поиска, сбора, хранения, обработки, представления и передачи информации;</w:t>
            </w:r>
          </w:p>
          <w:p/>
          <w:p>
            <w:pPr/>
            <w:r>
              <w:rPr/>
              <w:t xml:space="preserve">ОПК-6.5. Владеет навыками применения информационно-коммуникационных технологий для поиска, сбора, хранения, обработки, представления и передачи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122</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113</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94</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85</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F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2026-04-21T07:44:29+03:00</dcterms:created>
  <dcterms:modified xsi:type="dcterms:W3CDTF">2026-04-21T07:44:29+03:00</dcterms:modified>
</cp:coreProperties>
</file>

<file path=docProps/custom.xml><?xml version="1.0" encoding="utf-8"?>
<Properties xmlns="http://schemas.openxmlformats.org/officeDocument/2006/custom-properties" xmlns:vt="http://schemas.openxmlformats.org/officeDocument/2006/docPropsVTypes"/>
</file>