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(18 часов) и самостоятельную работу обучающегося (90 часов). Перечень и краткое содержание этой работы студенты получают в начале семестра.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Лабораторные занятия проходят 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Лабораторные занятия проходят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7E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96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1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61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E1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A7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27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D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7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274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E9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