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Шлифовальные станки. Режимы резания. Режущий инструмент. Особые виды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работа1 </w:t>
      </w:r>
    </w:p>
    <w:p>
      <w:pPr/>
      <w:r>
        <w:rPr/>
        <w:t xml:space="preserve">Название контрольной работы №1: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/>
        <w:t xml:space="preserve">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(84 часа).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Лабораторные занятия проходят в лабораториях материаловедения и технологии конструкционных материалов (пр. А. Невского, 58): лаборатории материаловедения, лаборатории станков, лаборатории сварки. Выполнение всех лабораторных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Лабораторные занятия проходят в лабораториях материаловедения и технологии конструкционных материалов (пр. А. Невского, 58): лаборатории материаловедения, лаборатории станков, лаборатории сварки. Выполнение всех лабораторных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7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/>
      <w:r>
        <w:rPr/>
        <w:t xml:space="preserve">2. Рабочая программа дисциплины «Технология конструкционных материалов» для обучающихся по направлению подготовки бакалавриата </w:t>
      </w:r>
      <w:r>
        <w:rPr/>
        <w:t xml:space="preserve">15.03.02 Инжиниринг и маркетинг технологических машин и оборудования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BB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08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78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8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FD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F9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9A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