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УПРАВЛЕНИЯ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управления техническими системами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1"/>
        </w:numPr>
      </w:pPr>
      <w:r>
        <w:rPr/>
        <w:t xml:space="preserve">Принципы управления.</w:t>
      </w:r>
    </w:p>
    <w:p>
      <w:pPr>
        <w:numPr>
          <w:ilvl w:val="0"/>
          <w:numId w:val="1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1"/>
        </w:numPr>
      </w:pPr>
      <w:r>
        <w:rPr/>
        <w:t xml:space="preserve">Классификация САУ.</w:t>
      </w:r>
    </w:p>
    <w:p>
      <w:pPr>
        <w:numPr>
          <w:ilvl w:val="0"/>
          <w:numId w:val="1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1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1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1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1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1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1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1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1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1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1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1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1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1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1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1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1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1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1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1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1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часов) и самостоятельную работу обучающегося (94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работ.</w:t>
      </w:r>
    </w:p>
    <w:p>
      <w:pPr/>
      <w:r>
        <w:rPr/>
        <w:t xml:space="preserve">Зачет проводится в соответствии с положением о зачетах и экзаменах ПетрГУ на основании списка вопросов.(см.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3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49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5B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4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4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E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8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E4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E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