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и проверку параметров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Системы, технологии и организация услуг в предприятиях автосервиса (О), Нормирование точности (НО),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требования операционно-постовых карт технического осмотра транспортных средств;</w:t>
            </w:r>
          </w:p>
          <w:p/>
          <w:p>
            <w:pPr/>
            <w:r>
              <w:rPr/>
              <w:t xml:space="preserve">ПК-5.2.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средств;</w:t>
            </w:r>
          </w:p>
          <w:p/>
          <w:p>
            <w:pPr/>
            <w:r>
              <w:rPr/>
              <w:t xml:space="preserve">ПК-5.3. Умеет применять средства технического диагностирования, в том числе средства измерений;</w:t>
            </w:r>
          </w:p>
          <w:p/>
          <w:p>
            <w:pPr/>
            <w:r>
              <w:rPr/>
              <w:t xml:space="preserve">ПК-5.4. Способен выполнять проверки технического состояния транспортных средств с использованием средств технического диагностирования, в том числе средств измерений, в соответствии с операционно-постовыми картами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8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C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2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2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C8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A7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DEC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8C9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D5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C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8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C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714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58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2026-04-21T11:18:55+03:00</dcterms:created>
  <dcterms:modified xsi:type="dcterms:W3CDTF">2026-04-21T11:18:55+03:00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