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ФИНАНСОВЫЕ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«Цифровая экономика и финансовая аналитика»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11.08.2020 г. N 939 и учебным планом по направлению подготовки магистратуры 38.04.01 Экономика  (профиль «Цифровая экономика и финансовая аналитика»).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 и анализ информации о состоянии и перспективах финансового рынка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Введение в цифровую экономику (Н), Подготовка к процедуре защиты и защита ВКР (И), Новые тенденции в развитии мировой экономики и альтернативные финансы (О), Фундаментальный и технический анализ (О), Финансовые рынки (О), Современная денежно-кредитная система и цифровые технологии (Н), Финансовые технологии (О), Подготовка к сдаче и сдача государственного экзамена (И), Учебная ознакомительная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Осуществляет самостоятельные прикладные или фундаментальные научные исследования по перспективным направлениям развития финансового рынка в соответствии с разработанной программой исследования и с представлением результатов проведенного исследования в виде статьи или доклада;  </w:t>
            </w:r>
          </w:p>
          <w:p/>
          <w:p>
            <w:pPr/>
            <w:r>
              <w:rPr/>
              <w:t xml:space="preserve">ПК-3.2. Разъясняет суть финансовых продуктов, юридические и экономические характеристики финансовых продуктов и услуг;</w:t>
            </w:r>
          </w:p>
          <w:p/>
          <w:p>
            <w:pPr/>
            <w:r>
              <w:rPr/>
              <w:t xml:space="preserve">ПК-3.3. Собирает, анализирует и предоставляет достоверную информацию в масштабах всего спектра финансовых (инвестиционных) услуг.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Финансовые технологии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Финтех (FinTech): инновационные финансовые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основы финтеха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в области финтеха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Риски использования и этика финтеха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современного состояния рынка и перспективы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использования в традиционных финансовых организациях и в нефинансовых компаниях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Финтех (FinTech): инновационные финансовые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основы финтеха. Финансовые технологии для платежей и переводов. Блокчейн и криптовалюты. Роботизация и биометрия. Облачные технологии. Большие данные (Big Data). Искусственные интеллект и машинное обучение.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в области финтеха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Риски использования и этика финтеха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современного состояния рынка и перспективы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анализ финансовых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современного состояния рынка и перспективы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использования инновационные финансовые технологии в различных приложениях и информационных системах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учебных материалов и просмотр видеолекций. Работа с дополнительными источниками информации. Выполнение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учебных материалов и просмотр видеолекций. Работа с дополнительными источниками информации. Выполнение лабораторных работ и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учебных материалов и просмотр видеолекций. Работа с дополнительными источниками информации. Подготовка реферата и выполнение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учебных материалов и просмотр видеолекций. Работа с дополнительными источниками информации. Подготовка реферата и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учебных материалов и просмотр видеолекций. Работа с дополнительными источниками информации. Выполнение лабораторной работы, реферата и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учебных материалов и просмотр видеолекций. Работа с дополнительными источниками информации. Выполнение лабораторной работы, реферата и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дисциплины используются традиционные формы и методы обучения (лекции, лабораторные занятия, консультации). Лекции проводятся с использованием презентаций и демонстрацией обсуждаемых программных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реферат;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lang w:val="ru-RU"/>
          <w:b w:val="1"/>
          <w:bCs w:val="1"/>
        </w:rPr>
        <w:t xml:space="preserve">Темы лабораторных работ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Технический анализ финансовых данных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Обзор современного состояния рынка и перспективы использования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Примеры использования инновационные финансовые технологии в различных приложениях и информационных системах</w:t>
      </w:r>
    </w:p>
    <w:p>
      <w:pPr/>
    </w:p>
    <w:p>
      <w:pPr/>
      <w:r>
        <w:rPr>
          <w:lang w:val="ru-RU"/>
        </w:rPr>
        <w:t xml:space="preserve">Лабораторная работа. </w:t>
      </w:r>
      <w:r>
        <w:rPr>
          <w:lang w:val="ru-RU"/>
        </w:rPr>
        <w:t xml:space="preserve">Технический анализ финансовых данных</w:t>
      </w:r>
    </w:p>
    <w:p>
      <w:pPr/>
      <w:r>
        <w:rPr>
          <w:lang w:val="ru-RU"/>
        </w:rPr>
        <w:t xml:space="preserve">1. Посмотреть указанные в лекции сайты.</w:t>
      </w:r>
      <w:br/>
      <w:r>
        <w:rPr>
          <w:lang w:val="ru-RU"/>
        </w:rPr>
        <w:t xml:space="preserve">2. Выбрать акцию на сайте.</w:t>
      </w:r>
      <w:br/>
      <w:r>
        <w:rPr>
          <w:lang w:val="ru-RU"/>
        </w:rPr>
        <w:t xml:space="preserve">3. Для выбранной акции посмотреть индикаторы: SMA, полосы Боллинджера, RSI.</w:t>
      </w:r>
      <w:br/>
      <w:r>
        <w:rPr>
          <w:lang w:val="ru-RU"/>
        </w:rPr>
        <w:t xml:space="preserve">4. Провести анализ и сделать выводы по каждому индикатору. Сделать общий вывод.</w:t>
      </w:r>
      <w:br/>
      <w:r>
        <w:rPr>
          <w:lang w:val="ru-RU"/>
        </w:rPr>
        <w:t xml:space="preserve">5. Оформить отчет (2 страницы).</w:t>
      </w:r>
    </w:p>
    <w:p>
      <w:pPr/>
    </w:p>
    <w:p>
      <w:pPr>
        <w:jc w:val="both"/>
      </w:pPr>
      <w:r>
        <w:rPr>
          <w:lang w:val="ru-RU"/>
        </w:rPr>
        <w:t xml:space="preserve">Критерием выполнения лабораторных работ является предоставление письменного отчета и защита готовой работы преподавателю. Работа должна быть выполнена полностью. Обучающийся должен ориентироваться в материале, отвечать на дополнительные вопросы по работе. Выполнять небольшие задания в рамках лабораторной работы по просьбе преподавателя.</w:t>
      </w:r>
    </w:p>
    <w:p/>
    <w:p>
      <w:pPr/>
      <w:r>
        <w:rPr/>
        <w:t xml:space="preserve">Реферат</w:t>
      </w:r>
    </w:p>
    <w:p>
      <w:pPr/>
      <w:r>
        <w:rPr>
          <w:lang w:val="ru-RU"/>
          <w:b w:val="1"/>
          <w:bCs w:val="1"/>
        </w:rPr>
        <w:t xml:space="preserve">Темы рефератов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Законодательство в области финтеха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Успех и риски использования финтеха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Этика финтеха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Примеры использования финтех в традиционных финансовых организациях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Примеры использования финтех в нефинансовых организациях</w:t>
      </w:r>
    </w:p>
    <w:p>
      <w:pPr/>
    </w:p>
    <w:p>
      <w:pPr>
        <w:jc w:val="both"/>
      </w:pPr>
      <w:r>
        <w:rPr>
          <w:lang w:val="ru-RU"/>
        </w:rPr>
        <w:t xml:space="preserve">Реферат подготавливается по указанным темам объемом не менее 10 листов. Требования к оформлению: титульный лист как для курсовых работ, содержание (автоматически сформированное), размер шрифта 12 пт, междустрочный интервал 1,5, список использованных источников и расстановка ссылок на них по тексту реферата.</w:t>
      </w:r>
    </w:p>
    <w:p>
      <w:pPr>
        <w:jc w:val="both"/>
      </w:pPr>
    </w:p>
    <w:p>
      <w:pPr>
        <w:jc w:val="both"/>
      </w:pPr>
      <w:r>
        <w:rPr>
          <w:lang w:val="ru-RU"/>
        </w:rPr>
        <w:t xml:space="preserve">Критерии оценивания. </w:t>
      </w:r>
    </w:p>
    <w:p>
      <w:pPr>
        <w:jc w:val="both"/>
      </w:pPr>
      <w:r>
        <w:rPr>
          <w:lang w:val="ru-RU"/>
        </w:rPr>
        <w:t xml:space="preserve">Реферат проверяется на соответствие всем требованиям.</w:t>
      </w:r>
    </w:p>
    <w:p/>
    <w:p>
      <w:pPr/>
      <w:r>
        <w:rPr/>
        <w:t xml:space="preserve">Задание</w:t>
      </w:r>
    </w:p>
    <w:p>
      <w:pPr/>
      <w:r>
        <w:rPr>
          <w:lang w:val="ru-RU"/>
          <w:b w:val="1"/>
          <w:bCs w:val="1"/>
        </w:rPr>
        <w:t xml:space="preserve">Пример задания.  </w:t>
      </w:r>
      <w:r>
        <w:rPr>
          <w:lang w:val="ru-RU"/>
        </w:rPr>
        <w:t xml:space="preserve">Придумать 10 вопросов по материалам курса. Возможные типы вопросов: один ответ, несколько ответов, короткий ответ, сопоставление.</w:t>
      </w:r>
    </w:p>
    <w:p>
      <w:pPr/>
    </w:p>
    <w:p>
      <w:pPr/>
      <w:r>
        <w:rPr>
          <w:lang w:val="ru-RU"/>
        </w:rPr>
        <w:t xml:space="preserve">Критерии оценивания.</w:t>
      </w:r>
    </w:p>
    <w:p>
      <w:pPr/>
    </w:p>
    <w:p>
      <w:pPr>
        <w:jc w:val="both"/>
      </w:pPr>
      <w:r>
        <w:rPr>
          <w:lang w:val="ru-RU"/>
        </w:rPr>
        <w:t xml:space="preserve">Подготовленные вопросы проверяются на соответствие требованиям.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lang w:val="ru-RU"/>
          <w:b w:val="1"/>
          <w:bCs w:val="1"/>
        </w:rPr>
        <w:t xml:space="preserve">Вопросы к зачету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Современное состояние и тенденции развития финтех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Финансовые технологии для платежей и переводов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Технологии распределенного реестра (криптовалюты, умные контракты, децентрализованный учет активов)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Роботизация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Облачные технологии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Большие данные (Big Data)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Искусственные интеллект и машинное обучение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Глубокое обучение (нейронные сети)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Законодательство в области финтеха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Риски использования финтеха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Этика финтеха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Примеры использования</w:t>
      </w:r>
    </w:p>
    <w:p>
      <w:pPr/>
    </w:p>
    <w:p>
      <w:pPr/>
      <w:r>
        <w:rPr>
          <w:lang w:val="ru-RU"/>
        </w:rPr>
        <w:t xml:space="preserve">Для допуска к зачету необходимо выполнить все лабораторные работы, реферат, задание. Зачет может проходить в виде собеседования или теста по предложенным вопросам.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ставится, если студент строит ответ логично в соответствии с планом, обнаруживает знание теоретических вопросов.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  <w:br/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ставится, если студент оказывается неспособным правильно раскрыть содержание основных понятий.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>
          <w:lang w:val="ru-RU"/>
        </w:rPr>
        <w:t xml:space="preserve">Для успешного усвоения учебного материала рекомендуются систематические занятия в рамках отведенного учебным планом времени на аудиторную и самостоятельную работу. Материалы лекций и практических занятий дополняют друг друга. Лекции посвящены теоретическим вопросам. Часть материала разбирается только на лабораторных занятиях. Лабораторные работы необходимо сдавать в срок, установленный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>
          <w:lang w:val="ru-RU"/>
        </w:rPr>
        <w:t xml:space="preserve">Рекомендуется использовать подготовленные презентации при проведении лекций.</w:t>
      </w:r>
      <w:r>
        <w:rPr/>
        <w:t xml:space="preserve"> </w:t>
      </w:r>
      <w:r>
        <w:rPr>
          <w:lang w:val="ru-RU"/>
        </w:rPr>
        <w:t xml:space="preserve"> Проводить на лекциях демонстрацию программных продуктов, которые упоминаются в курсе и обучающих роликов по информационным системам. Лабораторные работы выполняются студентами самостоятельно. Обязательна защита выполненной лабораторной работы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Финансовые рынки и финансово-кредитные организации в условиях цифровизации : учебник / Н. Н. Никулина, С. В. Березина, Т. В. Стожарова [и др.] ; под общ. ред. Н. Н. Никулиной. – Москва : Юнити-Дана, 2020. – 448 с. : ил., табл., схем. – (Magister). – Режим доступа: по подписке. – URL: https://biblioclub.ru/index.php?page=book&amp;id=615686.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Инвестиции и инновации : учебник : [16+] / В. Н. Щербаков, Л. П. Дашков, К. В. Балдин [и др.] ; под ред. В. Н. Щербакова. – 3-е изд. – Москва : Дашков и К°, 2020. – 658 с. : ил., табл., схем. – Режим доступа: по подписке. – URL: https://biblioclub.ru/index.php?page=book&amp;id=684211.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Цифровая трансформация экономики России: траектория развития / Н. Г. Кузнецов, Т. В. Панасенкова, Н. И. Чернышева, О. В. Губарь ; ред. Н. Г. Кузнецов, Н. Г. Вовченко ; Ростовский государственный экономический университет (РИНХ). – Ростов-на-Дону : Издательско-полиграфический комплекс РГЭУ (РИНХ), 2019. – 319 с. : схем., табл. – Режим доступа: по подписке. – URL: https://biblioclub.ru/index.php?page=book&amp;id=567638.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Буликов, С. Н. Технология блокчейн в финансировании проектов: учебник-презентация : [16+] / С. Н. Буликов, А. А. Киселев, В. Д. Сухов. – Москва ; Берлин : Директ-Медиа, 2020. – 114 с. : ил., табл. – Режим доступа: по подписке. – URL: https://biblioclub.ru/index.php?page=book&amp;id=577851.</w:t>
      </w:r>
    </w:p>
    <w:p>
      <w:pPr>
        <w:jc w:val="both"/>
      </w:pPr>
    </w:p>
    <w:p>
      <w:pPr>
        <w:jc w:val="both"/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Использование </w:t>
      </w:r>
      <w:r>
        <w:rPr/>
        <w:t xml:space="preserve">MS</w:t>
      </w:r>
      <w:r>
        <w:rPr>
          <w:lang w:val="ru-RU"/>
        </w:rPr>
        <w:t xml:space="preserve"> </w:t>
      </w:r>
      <w:r>
        <w:rPr/>
        <w:t xml:space="preserve">Word</w:t>
      </w:r>
      <w:r>
        <w:rPr>
          <w:lang w:val="ru-RU"/>
        </w:rPr>
        <w:t xml:space="preserve"> 2010 при оформлении квалификационных работ : учебно-методические рекомендации / [сост. Т. Г. Суровцова, Е. А. Фомина]. – Петрозаводск : Изд – во ПетрГУ, 2011. – 60 с.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Финансовые технологии и финансовый инжиниринг : учебник / И. А. Гусева. — Москва : КНОРУС, 2021. — 314 с.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Кулагин, В. Digital@Scale. Настольная книга по цифровизации бизнеса=Digital@Scale. How you can lead your business to the future with Digital@Scale : [16+] / В. Кулагин, А. Сухаревский, Ю. Мефферт. – Москва : Интеллектуальная Литература, 2019. – 293 с. : ил. – Режим доступа: по подписке. – URL: https://biblioclub.ru/index.php?page=book&amp;id=570404.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Туруев И. Б. Трансформация банковского сектора под влиянием финтеха: опыт Китая </w:t>
      </w:r>
      <w:r>
        <w:rPr/>
        <w:t xml:space="preserve">vs</w:t>
      </w:r>
      <w:r>
        <w:rPr>
          <w:lang w:val="ru-RU"/>
        </w:rPr>
        <w:t xml:space="preserve"> опыт России // И. Б. Туруев, Е. О. Шашкина / Финансы и кредит, 2022. – Том 28, выпуск 2. – С. 372-411. – Режим доступа: по подписке. – URL: https://biblioclub.ru/index.php?page=book_view_red&amp;book_id=687555&amp;page_id=372&amp;sr=1.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Кинг Б. Банк 4.0. Новая финансовая реальность. — М. : Олимп-Бизнес, 2020. 476 с.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Умаров Х. С. Роль финтех-стартапов в современном общества // Х. С. Умаров / Финансы и кредит, 2021. – Том 27, выпуск 8. – С. 1911-1930. – Режим доступа: по подписке. – URL: https://biblioclub.ru/index.php?page=book_view_red&amp;book_id=683541&amp;page_id=1911&amp;sr=1.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Котляров И. Д. Проблемы правового регулирования финтеха // Информационное общество. – 2020. – № 4. – С. 12-22. – </w:t>
      </w:r>
      <w:r>
        <w:rPr/>
        <w:t xml:space="preserve">URL</w:t>
      </w:r>
      <w:r>
        <w:rPr>
          <w:lang w:val="ru-RU"/>
        </w:rPr>
        <w:t xml:space="preserve">: http://infosoc.iis.ru/article/view/517.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Применение технологий распределенного реестра в государственном управлении: возможности и правовые риски / Э. В. Талапина, В. Н. Южаков, А. А. Ефремов, И. А. Черешнева ; Российская академия народного хозяйства и государственной службы при Президенте Российской Федерации. – Москва : Дело, 2021. – 314 с. : ил. – Режим доступа: по подписке. – URL: https://biblioclub.ru/index.php?page=book&amp;id=685879.</w:t>
      </w:r>
    </w:p>
    <w:p>
      <w:pPr>
        <w:numPr>
          <w:ilvl w:val="0"/>
          <w:numId w:val="5"/>
        </w:numPr>
      </w:pPr>
      <w:r>
        <w:rPr>
          <w:lang w:val="ru-RU"/>
        </w:rPr>
        <w:t xml:space="preserve">Финансовые рынки и финансово-кредитные организации в условиях цифровизации : учебник / Н. Н. Никулина, С. В. Березина, Т. В. Стожарова [и др.] ; под общ. ред. Н. Н. Никулиной. – Москва : Юнити-Дана, 2020. – 448 с. : ил., табл., схем. – (Magister). – Режим доступа: по подписке. – URL: https://biblioclub.ru/index.php?page=book&amp;id=615686.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5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D4D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46F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587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CD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F4F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B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2026-04-21T06:03:07+03:00</dcterms:created>
  <dcterms:modified xsi:type="dcterms:W3CDTF">2026-04-21T06:03:07+03:00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