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Помощь осужденным, освобождаемым от отбывания наказания, и контроль за ними.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Уголовно-исполнительное право : учебник для вузов / И. Я. Козаченко [и др.] ; под редакцией И. Я. Козаченко, А. П. Деткова, В. А. Попова. — 3-е изд., перераб. и доп. — Москва : Издательство Юрайт, 2024. — 480 с. — (Высшее образование). — ISBN 978-5-534-19081-6. — Текст : электронный // Образовательная платформа Юрайт [сайт]. — URL: </w:t>
      </w:r>
      <w:hyperlink r:id="rId7" w:history="1">
        <w:r>
          <w:rPr/>
          <w:t xml:space="preserve">https://urait.ru/bcode/555904</w:t>
        </w:r>
      </w:hyperlink>
      <w:r>
        <w:rPr/>
        <w:t xml:space="preserve">.</w:t>
      </w:r>
    </w:p>
    <w:p>
      <w:pPr/>
      <w:r>
        <w:rPr/>
        <w:t xml:space="preserve">2. 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r>
        <w:rPr/>
        <w:t xml:space="preserve">1. Уголовно-исполнительное право. Практикум : учебное пособие для вузов / И. Я. Козаченко [и др.] ; под общей редакцией И. Я. Козаченко. — 2-е изд. — Москва : Издательство Юрайт, 2024. — 297 с. — (Высшее образование). — ISBN 978-5-534-13695-1. — Текст : электронный // Образовательная платформа Юрайт [сайт]. — URL: </w:t>
      </w:r>
      <w:hyperlink r:id="rId8" w:history="1">
        <w:r>
          <w:rPr/>
          <w:t xml:space="preserve">https://urait.ru/bcode/536905</w:t>
        </w:r>
      </w:hyperlink>
      <w:r>
        <w:rPr/>
        <w:t xml:space="preserve">.</w:t>
      </w:r>
    </w:p>
    <w:p>
      <w:pPr/>
      <w:r>
        <w:rPr/>
        <w:t xml:space="preserve">2. 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2024. — 193 с. — (Высшее образование). — ISBN 978-5-534-06439-1. — Текст : электронный // Образовательная платформа Юрайт [сайт]. — URL: https://urait.ru/bcode/540491.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3"/>
        </w:numPr>
      </w:pPr>
      <w:r>
        <w:rPr/>
        <w:t xml:space="preserve">Официальный интернет-портал правовой информации -</w:t>
      </w:r>
      <w:hyperlink r:id="rId9" w:history="1">
        <w:r>
          <w:rPr/>
          <w:t xml:space="preserve">http://www.pravo.gov.ru/</w:t>
        </w:r>
      </w:hyperlink>
    </w:p>
    <w:p>
      <w:pPr>
        <w:numPr>
          <w:ilvl w:val="0"/>
          <w:numId w:val="23"/>
        </w:numPr>
      </w:pPr>
      <w:r>
        <w:rPr/>
        <w:t xml:space="preserve">Министерство юстиции Российской Федерации -</w:t>
      </w:r>
      <w:hyperlink r:id="rId10" w:history="1">
        <w:r>
          <w:rPr/>
          <w:t xml:space="preserve">https://minjust.ru/</w:t>
        </w:r>
      </w:hyperlink>
    </w:p>
    <w:p>
      <w:pPr>
        <w:numPr>
          <w:ilvl w:val="0"/>
          <w:numId w:val="23"/>
        </w:numPr>
      </w:pPr>
      <w:r>
        <w:rPr/>
        <w:t xml:space="preserve">Федеральная служба исполнения наказаний России -</w:t>
      </w:r>
      <w:hyperlink r:id="rId11"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2"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62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73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8ADA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0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6F21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8D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C9D2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14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1B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34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E7F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A5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9F6ED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88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BC28E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7A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A60EB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50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E4D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E1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A5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2F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A3F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17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5904" TargetMode="External"/><Relationship Id="rId8" Type="http://schemas.openxmlformats.org/officeDocument/2006/relationships/hyperlink" Target="https://urait.ru/bcode/536905" TargetMode="External"/><Relationship Id="rId9" Type="http://schemas.openxmlformats.org/officeDocument/2006/relationships/hyperlink" Target="http://www.pravo.gov.ru/" TargetMode="External"/><Relationship Id="rId10" Type="http://schemas.openxmlformats.org/officeDocument/2006/relationships/hyperlink" Target="https://minjust.ru/" TargetMode="External"/><Relationship Id="rId11" Type="http://schemas.openxmlformats.org/officeDocument/2006/relationships/hyperlink" Target="http://fsin.su/" TargetMode="External"/><Relationship Id="rId12"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2026-04-21T00:32:43+03:00</dcterms:created>
  <dcterms:modified xsi:type="dcterms:W3CDTF">2026-04-21T00:32:43+03:00</dcterms:modified>
</cp:coreProperties>
</file>

<file path=docProps/custom.xml><?xml version="1.0" encoding="utf-8"?>
<Properties xmlns="http://schemas.openxmlformats.org/officeDocument/2006/custom-properties" xmlns:vt="http://schemas.openxmlformats.org/officeDocument/2006/docPropsVTypes"/>
</file>