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Правоприменительная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знаний и умений, приобретенных в результате освоения теоретических курсов во время обучения, получение практических навыков и опыта профессиональной деятельности в области юриспруденции.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компетенций, установленных ФГОС ВО и закрепленных учебным планом за производственной правоприменительной практикой;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добросовестно исполнять профессиональные обязанности, соблюдать принципы этики юриста;</w:t>
      </w:r>
    </w:p>
    <w:p>
      <w:pPr>
        <w:numPr>
          <w:ilvl w:val="0"/>
          <w:numId w:val="1"/>
        </w:numPr>
      </w:pPr>
      <w:r>
        <w:rPr/>
        <w:t xml:space="preserve">формирование культуры поведения и приобретение опыта работы в трудовых коллективах при решении профессиональных вопросов;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логически верно, аргументированно и ясно строить устную и письменную речь;</w:t>
      </w:r>
    </w:p>
    <w:p>
      <w:pPr>
        <w:numPr>
          <w:ilvl w:val="0"/>
          <w:numId w:val="1"/>
        </w:numPr>
      </w:pPr>
      <w:r>
        <w:rPr/>
        <w:t xml:space="preserve">формирование нетерпимого отношения к коррупционному поведению, уважительного отношения к праву и закону;</w:t>
      </w:r>
    </w:p>
    <w:p>
      <w:pPr>
        <w:numPr>
          <w:ilvl w:val="0"/>
          <w:numId w:val="1"/>
        </w:numPr>
      </w:pPr>
      <w:r>
        <w:rPr/>
        <w:t xml:space="preserve">формирование готовности к выполнению должностных обязанностей по обеспечению законности и правопорядка, безопасности личности, общества, государства;</w:t>
      </w:r>
    </w:p>
    <w:p>
      <w:pPr>
        <w:numPr>
          <w:ilvl w:val="0"/>
          <w:numId w:val="1"/>
        </w:numPr>
      </w:pPr>
      <w:r>
        <w:rPr/>
        <w:t xml:space="preserve">формирование уважения чести и достоинства личности, способности соблюдать и защищать права и свободы человека и гражданина;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пресекать, раскрывать и расследовать преступления и иные правонарушения;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осуществлять предупреждение правонарушений, выявлять и устранять причины и условия, способствующие их совершению;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давать оценку коррупционного поведения и содействовать его пресечению;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правильно и полно отражать результаты профессиональной деятельности в юридической и иной документации;</w:t>
      </w:r>
    </w:p>
    <w:p>
      <w:pPr>
        <w:numPr>
          <w:ilvl w:val="0"/>
          <w:numId w:val="1"/>
        </w:numPr>
      </w:pPr>
      <w:r>
        <w:rPr/>
        <w:t xml:space="preserve">формирование готовности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>
      <w:pPr>
        <w:numPr>
          <w:ilvl w:val="0"/>
          <w:numId w:val="1"/>
        </w:numPr>
      </w:pPr>
      <w:r>
        <w:rPr/>
        <w:t xml:space="preserve">закрепление способности толковать различные правовые акты;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давать квалифицированные юридические заключения и консультации в конкретных видах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1"/>
        </w:numPr>
      </w:pPr>
      <w:r>
        <w:rPr/>
        <w:t xml:space="preserve">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2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2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2"/>
        </w:numPr>
      </w:pPr>
      <w:r>
        <w:rPr/>
        <w:t xml:space="preserve">органы прокуратуры;</w:t>
      </w:r>
    </w:p>
    <w:p>
      <w:pPr>
        <w:numPr>
          <w:ilvl w:val="0"/>
          <w:numId w:val="2"/>
        </w:numPr>
      </w:pPr>
      <w:r>
        <w:rPr/>
        <w:t xml:space="preserve">органы следствия и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</w:t>
      </w:r>
    </w:p>
    <w:p>
      <w:pPr>
        <w:numPr>
          <w:ilvl w:val="0"/>
          <w:numId w:val="2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2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3"/>
        </w:numPr>
      </w:pPr>
      <w:r>
        <w:rPr/>
        <w:t xml:space="preserve">органы следствия и органы внутренних дел в районах и городах Республики Карелия, а также других регионах РФ;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3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* с полным перечнем организаций, с которыми заключены долгосрочные соглашения на прохождение практики, можно ознакомиться у руководителя практики от образовательной организации.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
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особенности правового регулирования в конкретных сферах юридической деятельности.
ОПК-2.2. Дает квалифицированные юридические заключения и консультации на основе материального и процессуального права в правоприменительной практике.
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
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сущность основных способов и методов толкования нормативно-правовых актов.
ОПК-4.2. Осуществляет комплексный сравнительно-правовой анализ нормативных актов.
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содержание основных юридических понятий и терминов.
ОПК-5.2. Умеет устно и письменно объяснять смысл и значение правовых определений и терминов в профессиональной деятельности.
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
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правила составления юридических документов.
ОПК-6.2. Знает пути формирования современного российского законодательства.
ОПК-6.3. Знает виды  нормативно-правовых актов, виды правотворчества.                             ОПК-6.4. Знает структуру нормативно-правового акта, а также правила его действия. ОПК-6.5. Владеет навыками участия в разработке нормативно-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характер соотношения морали и права в профессиональной юридической деятельности.
ОПК-7.2. Определяет специфику этической основы конкретных видов юридической деятельности, в том числе в части антикоррупционных стандартов поведения.
ОПК-7.3. Оценивает социальную значимость своей профессии, возможные коррупционные риски, не допускать коррупционного поведения, уважительно относиться к праву и закону. 
ОПК-7.4. Владеет системой представлений об основных этических нормах в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
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
ОПК-8.3. Применяет методы представления и алгоритмы обработки данных, использует информационные технологии для решения профессиональных задач.
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основы и специфику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ПК-6.2. Умеет проводить исследование, имеющее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ПК-6.3. Владеет практическими навыками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
ПК-7.2. Умеет давать квалифицированные заключения и консультации в различных сферах юридической деятельности;
ПК-7.3. Владеет навыками правового консультирования в различных сферах юридической деятельности;
ПК-7.4. Владеет навыками оказания юридической помощи и правового просвещения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
ПК-3.2. Знает основные задачи работы по обеспечению законности и правопорядка;
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
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
ПК-4.2. Знает особенности, процедуру, методику и тактику раскрытия и расследования правонарушений и преступлений;
ПК-4.3. Знает и выделяет особенности видов правонарушений и преступлений;
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
ПК-4.5. Умеет дифференцировать и квалифицировать противоправные деяния;
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
ПК-5.2. Умеет выбирать средства, необходимые для предупреждения правонарушений;
ПК-5.3. Владеет навыками выявления причин и условий, способствующих совершению правонарушений;
ПК-5.4. Владеет навыками реализации мер по предупреждению правонарушений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4"/>
        </w:numPr>
      </w:pPr>
      <w:r>
        <w:rPr/>
        <w:t xml:space="preserve">составление таблиц и схем;</w:t>
      </w:r>
    </w:p>
    <w:p>
      <w:pPr>
        <w:numPr>
          <w:ilvl w:val="0"/>
          <w:numId w:val="4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4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5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6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7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8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8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9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9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0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0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0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0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0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0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1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1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1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1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2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2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2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2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2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2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2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2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2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2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2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2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3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3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3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4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4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4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4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4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2024.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https://urait.ru/bcode/541034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2024.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https://urait.ru/bcode/541035</w:t>
        </w:r>
      </w:hyperlink>
    </w:p>
    <w:p>
      <w:pPr>
        <w:numPr>
          <w:ilvl w:val="0"/>
          <w:numId w:val="15"/>
        </w:numPr>
      </w:pPr>
      <w:r>
        <w:rPr/>
        <w:t xml:space="preserve">Гражданский процесс : учебник и практикум для вузов / под редакцией М. Ю. Лебедева. — 9-е изд., перераб. и доп. — Москва : Издательство Юрайт, 2024. — 396 с. — (Высшее образование). — ISBN 978-5-534-20296-0.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https://urait.ru/bcode/557921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15-е изд., перераб. и доп. — Москва : Издательство Юрайт, 2024.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https://urait.ru/bcode/535389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3-е изд., перераб. и доп. — Москва : Издательство Юрайт, 2024. — 299 с. — (Высшее образование). — ISBN 978-5-534-18722-9.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https://urait.ru/bcode/545437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органы Российской Федерации : учебник для вузов / А. В. Гриненко. — 8-е изд., перераб. и доп. — Москва : Издательство Юрайт, 2024. — 296 с. — (Высшее образование). — ISBN 978-5-534-18907-0. — Текст : электронный // Образовательная платформа Юрайт [сайт]. — URL:</w:t>
      </w:r>
      <w:hyperlink r:id="rId12" w:history="1">
        <w:r>
          <w:rPr/>
          <w:t xml:space="preserve">https://urait.ru/bcode/555063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2024.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https://urait.ru/bcode/537503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2024.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https://urait.ru/bcode/538418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2024. — 448 с. — (Высшее образование). — ISBN 978-5-534-18585-0.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https://urait.ru/bcode/536359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2024. — 564 с. — (Высшее образование). — ISBN 978-5-534-18550-8.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https://urait.ru/bcode/535355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5-е изд., перераб. и доп. — Москва : Издательство Юрайт, 2024. — 685 с. — (Высшее образование). — ISBN 978-5-534-14101-6.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https://urait.ru/bcode/542693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3-е изд., перераб. и доп. — Москва : Издательство Юрайт, 2024. — 133 с. — (Высшее образование). — ISBN 978-5-534-18551-5.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https://urait.ru/bcode/535356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7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17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1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18"/>
        </w:numPr>
      </w:pPr>
    </w:p>
    <w:p>
      <w:pPr>
        <w:numPr>
          <w:ilvl w:val="1"/>
          <w:numId w:val="18"/>
        </w:numPr>
      </w:pPr>
    </w:p>
    <w:p>
      <w:pPr>
        <w:numPr>
          <w:ilvl w:val="2"/>
          <w:numId w:val="18"/>
        </w:numPr>
      </w:pPr>
    </w:p>
    <w:p>
      <w:pPr>
        <w:numPr>
          <w:ilvl w:val="3"/>
          <w:numId w:val="18"/>
        </w:numPr>
      </w:pPr>
    </w:p>
    <w:p>
      <w:pPr>
        <w:numPr>
          <w:ilvl w:val="4"/>
          <w:numId w:val="18"/>
        </w:numPr>
      </w:pPr>
    </w:p>
    <w:p>
      <w:pPr>
        <w:numPr>
          <w:ilvl w:val="5"/>
          <w:numId w:val="18"/>
        </w:numPr>
      </w:pPr>
    </w:p>
    <w:p>
      <w:pPr>
        <w:numPr>
          <w:ilvl w:val="6"/>
          <w:numId w:val="18"/>
        </w:numPr>
      </w:pPr>
    </w:p>
    <w:p>
      <w:pPr>
        <w:numPr>
          <w:ilvl w:val="7"/>
          <w:numId w:val="18"/>
        </w:numPr>
      </w:pPr>
    </w:p>
    <w:p>
      <w:pPr>
        <w:numPr>
          <w:ilvl w:val="8"/>
          <w:numId w:val="18"/>
        </w:numPr>
      </w:pPr>
    </w:p>
    <w:p>
      <w:pPr>
        <w:numPr>
          <w:ilvl w:val="9"/>
          <w:numId w:val="18"/>
        </w:numPr>
      </w:pPr>
    </w:p>
    <w:p>
      <w:pPr>
        <w:numPr>
          <w:ilvl w:val="10"/>
          <w:numId w:val="18"/>
        </w:numPr>
      </w:pPr>
    </w:p>
    <w:p>
      <w:pPr>
        <w:numPr>
          <w:ilvl w:val="11"/>
          <w:numId w:val="18"/>
        </w:numPr>
      </w:pPr>
    </w:p>
    <w:p>
      <w:pPr>
        <w:numPr>
          <w:ilvl w:val="12"/>
          <w:numId w:val="18"/>
        </w:numPr>
      </w:pPr>
    </w:p>
    <w:p>
      <w:pPr>
        <w:numPr>
          <w:ilvl w:val="13"/>
          <w:numId w:val="18"/>
        </w:numPr>
      </w:pPr>
    </w:p>
    <w:p>
      <w:pPr>
        <w:numPr>
          <w:ilvl w:val="14"/>
          <w:numId w:val="18"/>
        </w:numPr>
      </w:pPr>
    </w:p>
    <w:p>
      <w:pPr>
        <w:numPr>
          <w:ilvl w:val="15"/>
          <w:numId w:val="18"/>
        </w:numPr>
      </w:pPr>
    </w:p>
    <w:p>
      <w:pPr>
        <w:numPr>
          <w:ilvl w:val="16"/>
          <w:numId w:val="18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D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2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A5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E6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F8A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00D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D0E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77625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2E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0EE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9C2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24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E33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662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181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01F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30C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6414B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034" TargetMode="External"/><Relationship Id="rId8" Type="http://schemas.openxmlformats.org/officeDocument/2006/relationships/hyperlink" Target="https://urait.ru/bcode/541035" TargetMode="External"/><Relationship Id="rId9" Type="http://schemas.openxmlformats.org/officeDocument/2006/relationships/hyperlink" Target="https://urait.ru/bcode/557921" TargetMode="External"/><Relationship Id="rId10" Type="http://schemas.openxmlformats.org/officeDocument/2006/relationships/hyperlink" Target="https://urait.ru/bcode/535389" TargetMode="External"/><Relationship Id="rId11" Type="http://schemas.openxmlformats.org/officeDocument/2006/relationships/hyperlink" Target="https://urait.ru/bcode/545437" TargetMode="External"/><Relationship Id="rId12" Type="http://schemas.openxmlformats.org/officeDocument/2006/relationships/hyperlink" Target="https://urait.ru/bcode/555063" TargetMode="External"/><Relationship Id="rId13" Type="http://schemas.openxmlformats.org/officeDocument/2006/relationships/hyperlink" Target="https://urait.ru/bcode/537503" TargetMode="External"/><Relationship Id="rId14" Type="http://schemas.openxmlformats.org/officeDocument/2006/relationships/hyperlink" Target="https://urait.ru/bcode/538418" TargetMode="External"/><Relationship Id="rId15" Type="http://schemas.openxmlformats.org/officeDocument/2006/relationships/hyperlink" Target="https://urait.ru/bcode/536359" TargetMode="External"/><Relationship Id="rId16" Type="http://schemas.openxmlformats.org/officeDocument/2006/relationships/hyperlink" Target="https://urait.ru/bcode/535355" TargetMode="External"/><Relationship Id="rId17" Type="http://schemas.openxmlformats.org/officeDocument/2006/relationships/hyperlink" Target="https://urait.ru/bcode/542693" TargetMode="External"/><Relationship Id="rId18" Type="http://schemas.openxmlformats.org/officeDocument/2006/relationships/hyperlink" Target="https://urait.ru/bcode/535356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2026-04-21T02:07:49+03:00</dcterms:created>
  <dcterms:modified xsi:type="dcterms:W3CDTF">2026-04-21T02:07:49+03:00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