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ПРЕСТУПЛЕНИЙ В ЦИФРОВОЙ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преступлений в цифровой среде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преступлений в цифровой среде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1. Расследование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2. Расследование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3. Информационное обеспечение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Правые акты, регулирующие вопросы применения информационных технологий в расследовании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</w:t>
      </w:r>
    </w:p>
    <w:p>
      <w:pPr/>
      <w:r>
        <w:rPr/>
        <w:t xml:space="preserve">При изучении дисциплины «Организация предварительного расследования»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 в форме устного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Расследование преступлений в сфере компьютерной информации и электронных средств платежа : учебное пособие для вузов / С. В. Зуев [и др.] ; ответственные редакторы С. В. Зуев, В. Б. Вехов. — Москва : Издательство Юрайт, 2024. — 243 с. — (Высшее образование). — ISBN 978-5-534-13898-6. — Текст : электронный // Образовательная платформа Юрайт [сайт]. — URL: https://urait.ru/bcode/544035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2024. — 242 с. — (Высшее образование). — ISBN 978-5-534-08441-2. — Текст : электронный // Образовательная платформа Юрайт [сайт]. — URL: https://urait.ru/bcode/541213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F7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