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ПРОЕКТНЫЕ ТЕХНОЛОГИИ В НАУЧНОЙ И ПРИКЛАДНОЙ ДЕЯТЕЛЬНОСТИ ЮРИСТА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Регулирование деятельности юридического лица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Проектные технологии в научной и прикладной деятельности юриста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Актуальные проблемы гражданского права, Основы научных и прикладных правовых исследований, Актуальные проблемы теории государства и права.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Собеседование;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правовых дисциплинах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проектной деятельности в рамках научных и прикладных юридических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методических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проектов, проблемное обучение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Примеры вопросов для собеседования:</w:t>
      </w:r>
      <w:br/>
      <w:r>
        <w:rPr/>
        <w:t xml:space="preserve">1) Отличия процессного и проектного подхода</w:t>
      </w:r>
      <w:br/>
      <w:r>
        <w:rPr/>
        <w:t xml:space="preserve">2) Классификация проекта</w:t>
      </w:r>
      <w:br/>
      <w:r>
        <w:rPr/>
        <w:t xml:space="preserve">3) Планирование в проектной деятельности</w:t>
      </w:r>
      <w:br/>
      <w:r>
        <w:rPr/>
        <w:t xml:space="preserve">4) Формулировка задач проекта</w:t>
      </w:r>
    </w:p>
    <w:p/>
    <w:p>
      <w:pPr/>
      <w:r>
        <w:rPr/>
        <w:t xml:space="preserve">Проект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>
        <w:numPr>
          <w:ilvl w:val="0"/>
          <w:numId w:val="1"/>
        </w:numPr>
      </w:pPr>
      <w:r>
        <w:rPr/>
        <w:t xml:space="preserve">Теоретические основы доказывания в арбитражном процессе</w:t>
      </w:r>
    </w:p>
    <w:p>
      <w:pPr>
        <w:numPr>
          <w:ilvl w:val="0"/>
          <w:numId w:val="1"/>
        </w:numPr>
      </w:pPr>
      <w:r>
        <w:rPr/>
        <w:t xml:space="preserve">Проблемы правового регулирования доказывания в арбитражном процессе</w:t>
      </w:r>
    </w:p>
    <w:p>
      <w:pPr>
        <w:numPr>
          <w:ilvl w:val="0"/>
          <w:numId w:val="1"/>
        </w:numPr>
      </w:pPr>
      <w:r>
        <w:rPr/>
        <w:t xml:space="preserve">Теоретические основы опеки и попечительства над несовершеннолетними детьми</w:t>
      </w:r>
    </w:p>
    <w:p>
      <w:pPr>
        <w:numPr>
          <w:ilvl w:val="0"/>
          <w:numId w:val="1"/>
        </w:numPr>
      </w:pPr>
      <w:r>
        <w:rPr/>
        <w:t xml:space="preserve">Актуальные проблемы правового регулирования опеки и попечительства над несовершеннолетними детьми</w:t>
      </w:r>
    </w:p>
    <w:p>
      <w:pPr>
        <w:numPr>
          <w:ilvl w:val="0"/>
          <w:numId w:val="1"/>
        </w:numPr>
      </w:pPr>
      <w:r>
        <w:rPr/>
        <w:t xml:space="preserve">Правовые основы приобретательной давности в гражданском праве</w:t>
      </w:r>
    </w:p>
    <w:p>
      <w:pPr>
        <w:numPr>
          <w:ilvl w:val="0"/>
          <w:numId w:val="1"/>
        </w:numPr>
      </w:pPr>
      <w:r>
        <w:rPr/>
        <w:t xml:space="preserve">Перспективы развития института приобретательной давности</w:t>
      </w:r>
    </w:p>
    <w:p>
      <w:pPr>
        <w:numPr>
          <w:ilvl w:val="0"/>
          <w:numId w:val="1"/>
        </w:numPr>
      </w:pPr>
      <w:r>
        <w:rPr/>
        <w:t xml:space="preserve">Особенности применения норм о причинении вреда</w:t>
      </w:r>
    </w:p>
    <w:p>
      <w:pPr>
        <w:numPr>
          <w:ilvl w:val="0"/>
          <w:numId w:val="1"/>
        </w:numPr>
      </w:pPr>
      <w:r>
        <w:rPr/>
        <w:t xml:space="preserve">Условия возникновения обязательств вследствие причинения вреда</w:t>
      </w:r>
    </w:p>
    <w:p>
      <w:pPr>
        <w:numPr>
          <w:ilvl w:val="0"/>
          <w:numId w:val="1"/>
        </w:numPr>
      </w:pPr>
      <w:r>
        <w:rPr/>
        <w:t xml:space="preserve">Условия наступления гражданско-правовой ответственности за вред, причиненный жизни и здоровью</w:t>
      </w:r>
    </w:p>
    <w:p>
      <w:pPr>
        <w:numPr>
          <w:ilvl w:val="0"/>
          <w:numId w:val="1"/>
        </w:numPr>
      </w:pPr>
      <w:r>
        <w:rPr/>
        <w:t xml:space="preserve">Особенности гражданско-правовой ответственности для различных групп граждан</w:t>
      </w:r>
    </w:p>
    <w:p>
      <w:pPr>
        <w:numPr>
          <w:ilvl w:val="0"/>
          <w:numId w:val="1"/>
        </w:numPr>
      </w:pPr>
      <w:r>
        <w:rPr/>
        <w:t xml:space="preserve">Теоретические основы медиации</w:t>
      </w:r>
    </w:p>
    <w:p>
      <w:pPr>
        <w:numPr>
          <w:ilvl w:val="0"/>
          <w:numId w:val="1"/>
        </w:numPr>
      </w:pPr>
      <w:r>
        <w:rPr/>
        <w:t xml:space="preserve">Практическое применение медиации и перспективы её развития</w:t>
      </w:r>
    </w:p>
    <w:p>
      <w:pPr>
        <w:numPr>
          <w:ilvl w:val="0"/>
          <w:numId w:val="1"/>
        </w:numPr>
      </w:pPr>
      <w:r>
        <w:rPr/>
        <w:t xml:space="preserve">Практические аспекты реализации договорного режима имущества супругов</w:t>
      </w:r>
    </w:p>
    <w:p>
      <w:pPr>
        <w:numPr>
          <w:ilvl w:val="0"/>
          <w:numId w:val="1"/>
        </w:numPr>
      </w:pPr>
      <w:r>
        <w:rPr/>
        <w:t xml:space="preserve">Преимущества и недостатки договорного режима имущества супругов</w:t>
      </w:r>
    </w:p>
    <w:p>
      <w:pPr>
        <w:numPr>
          <w:ilvl w:val="0"/>
          <w:numId w:val="1"/>
        </w:numPr>
      </w:pPr>
      <w:r>
        <w:rPr/>
        <w:t xml:space="preserve">Особенности заключения договора купли-продажи земельного участка по результатам торгов</w:t>
      </w:r>
    </w:p>
    <w:p>
      <w:pPr>
        <w:numPr>
          <w:ilvl w:val="0"/>
          <w:numId w:val="1"/>
        </w:numPr>
      </w:pPr>
      <w:r>
        <w:rPr/>
        <w:t xml:space="preserve">Проблемы и перспективы заключения сделок с земельными участками на торгах</w:t>
      </w:r>
    </w:p>
    <w:p>
      <w:pPr>
        <w:numPr>
          <w:ilvl w:val="0"/>
          <w:numId w:val="1"/>
        </w:numPr>
      </w:pPr>
      <w:r>
        <w:rPr/>
        <w:t xml:space="preserve">Понятие и сущность залога как способа обеспечения исполнения обязательств</w:t>
      </w:r>
    </w:p>
    <w:p>
      <w:pPr>
        <w:numPr>
          <w:ilvl w:val="0"/>
          <w:numId w:val="1"/>
        </w:numPr>
      </w:pPr>
      <w:r>
        <w:rPr/>
        <w:t xml:space="preserve">Реализация заложенного имущества и защита прав залогодержателя</w:t>
      </w:r>
    </w:p>
    <w:p>
      <w:pPr>
        <w:numPr>
          <w:ilvl w:val="0"/>
          <w:numId w:val="1"/>
        </w:numPr>
      </w:pPr>
      <w:r>
        <w:rPr/>
        <w:t xml:space="preserve">Особенности исполнения отдельных видов исполнительных документов</w:t>
      </w:r>
    </w:p>
    <w:p>
      <w:pPr>
        <w:numPr>
          <w:ilvl w:val="0"/>
          <w:numId w:val="1"/>
        </w:numPr>
      </w:pPr>
      <w:r>
        <w:rPr/>
        <w:t xml:space="preserve">Проблемы исполнительного производства и пути их решения</w:t>
      </w:r>
    </w:p>
    <w:p>
      <w:pPr>
        <w:numPr>
          <w:ilvl w:val="0"/>
          <w:numId w:val="1"/>
        </w:numPr>
      </w:pPr>
      <w:r>
        <w:rPr/>
        <w:t xml:space="preserve">Общие положения о форме сделки</w:t>
      </w:r>
    </w:p>
    <w:p>
      <w:pPr>
        <w:numPr>
          <w:ilvl w:val="0"/>
          <w:numId w:val="1"/>
        </w:numPr>
      </w:pPr>
      <w:r>
        <w:rPr/>
        <w:t xml:space="preserve">Общие положения о нотариальной защите наследственных прав граждан</w:t>
      </w:r>
    </w:p>
    <w:p>
      <w:pPr>
        <w:numPr>
          <w:ilvl w:val="0"/>
          <w:numId w:val="1"/>
        </w:numPr>
      </w:pPr>
      <w:r>
        <w:rPr/>
        <w:t xml:space="preserve">Полномочия нотариуса по защите наследственных прав граждан</w:t>
      </w:r>
    </w:p>
    <w:p>
      <w:pPr>
        <w:numPr>
          <w:ilvl w:val="0"/>
          <w:numId w:val="1"/>
        </w:numPr>
      </w:pPr>
      <w:r>
        <w:rPr/>
        <w:t xml:space="preserve">Практика применения нотариального законодательства в сфере наследственного права</w:t>
      </w:r>
    </w:p>
    <w:p>
      <w:pPr>
        <w:numPr>
          <w:ilvl w:val="0"/>
          <w:numId w:val="1"/>
        </w:numPr>
      </w:pPr>
      <w:r>
        <w:rPr/>
        <w:t xml:space="preserve">Общие положения о договорном режиме имущества супругов</w:t>
      </w:r>
    </w:p>
    <w:p>
      <w:pPr>
        <w:numPr>
          <w:ilvl w:val="0"/>
          <w:numId w:val="1"/>
        </w:numPr>
      </w:pPr>
      <w:r>
        <w:rPr/>
        <w:t xml:space="preserve">Ответственность супругов по обязательствам и влияние брачного договора на эту ответственность</w:t>
      </w:r>
    </w:p>
    <w:p>
      <w:pPr>
        <w:numPr>
          <w:ilvl w:val="0"/>
          <w:numId w:val="1"/>
        </w:numPr>
      </w:pPr>
      <w:r>
        <w:rPr/>
        <w:t xml:space="preserve">Муниципальное образование как субъект гражданского права</w:t>
      </w:r>
    </w:p>
    <w:p>
      <w:pPr>
        <w:numPr>
          <w:ilvl w:val="0"/>
          <w:numId w:val="1"/>
        </w:numPr>
      </w:pPr>
      <w:r>
        <w:rPr/>
        <w:t xml:space="preserve">Ответственность муниципальных образований по гражданско-правовым обязательствам</w:t>
      </w:r>
    </w:p>
    <w:p>
      <w:pPr>
        <w:numPr>
          <w:ilvl w:val="0"/>
          <w:numId w:val="1"/>
        </w:numPr>
      </w:pPr>
      <w:r>
        <w:rPr/>
        <w:t xml:space="preserve">Общие положения о праве собственности и способах его приобретения</w:t>
      </w:r>
    </w:p>
    <w:p>
      <w:pPr>
        <w:numPr>
          <w:ilvl w:val="0"/>
          <w:numId w:val="1"/>
        </w:numPr>
      </w:pPr>
      <w:r>
        <w:rPr/>
        <w:t xml:space="preserve">Проблемы правового регулирования и судебная практика по спорам, связанным с приобретением права собственности</w:t>
      </w:r>
    </w:p>
    <w:p>
      <w:pPr>
        <w:numPr>
          <w:ilvl w:val="0"/>
          <w:numId w:val="1"/>
        </w:numPr>
      </w:pPr>
      <w:r>
        <w:rPr/>
        <w:t xml:space="preserve">Сравнительная характеристика ограниченных вещных прав</w:t>
      </w:r>
    </w:p>
    <w:p>
      <w:pPr>
        <w:numPr>
          <w:ilvl w:val="0"/>
          <w:numId w:val="1"/>
        </w:numPr>
      </w:pPr>
      <w:r>
        <w:rPr/>
        <w:t xml:space="preserve">Проблемы правового регулирования и судебная практика по спорам, связанным с ограниченными вещными правами</w:t>
      </w:r>
    </w:p>
    <w:p>
      <w:pPr>
        <w:numPr>
          <w:ilvl w:val="0"/>
          <w:numId w:val="1"/>
        </w:numPr>
      </w:pPr>
      <w:r>
        <w:rPr/>
        <w:t xml:space="preserve">Обычай как источник гражданского права в Российской Федерации</w:t>
      </w:r>
    </w:p>
    <w:p>
      <w:pPr>
        <w:numPr>
          <w:ilvl w:val="0"/>
          <w:numId w:val="1"/>
        </w:numPr>
      </w:pPr>
      <w:r>
        <w:rPr/>
        <w:t xml:space="preserve">Проблемы применения обычая как источника гражданского права и пути их решения</w:t>
      </w:r>
    </w:p>
    <w:p>
      <w:pPr>
        <w:numPr>
          <w:ilvl w:val="0"/>
          <w:numId w:val="1"/>
        </w:numPr>
      </w:pPr>
      <w:r>
        <w:rPr/>
        <w:t xml:space="preserve">Теоретические основы осуществления гражданских прав и установления их пределов</w:t>
      </w:r>
    </w:p>
    <w:p>
      <w:pPr>
        <w:numPr>
          <w:ilvl w:val="0"/>
          <w:numId w:val="1"/>
        </w:numPr>
      </w:pPr>
      <w:r>
        <w:rPr/>
        <w:t xml:space="preserve">Злоупотребление правом как нарушение пределов осуществления гражданских прав</w:t>
      </w:r>
    </w:p>
    <w:p>
      <w:pPr>
        <w:numPr>
          <w:ilvl w:val="0"/>
          <w:numId w:val="1"/>
        </w:numPr>
      </w:pPr>
      <w:r>
        <w:rPr/>
        <w:t xml:space="preserve">Теоретические основы признания недействительным акта государственного органа или органа местного самоуправления как способа защиты гражданских прав</w:t>
      </w:r>
    </w:p>
    <w:p>
      <w:pPr>
        <w:numPr>
          <w:ilvl w:val="0"/>
          <w:numId w:val="1"/>
        </w:numPr>
      </w:pPr>
      <w:r>
        <w:rPr/>
        <w:t xml:space="preserve">Правовые последствия признания недействительным акта государственного органа или органа местного самоуправления</w:t>
      </w:r>
    </w:p>
    <w:p>
      <w:pPr>
        <w:numPr>
          <w:ilvl w:val="0"/>
          <w:numId w:val="1"/>
        </w:numPr>
      </w:pPr>
      <w:r>
        <w:rPr/>
        <w:t xml:space="preserve">Проблемы применения норм о генеральном и специальных деликтах в судебной практике и пути их решения</w:t>
      </w:r>
    </w:p>
    <w:p>
      <w:pPr>
        <w:numPr>
          <w:ilvl w:val="0"/>
          <w:numId w:val="1"/>
        </w:numPr>
      </w:pPr>
      <w:r>
        <w:rPr/>
        <w:t xml:space="preserve">Правовое регулирование заключения государственного и муниципального контракта</w:t>
      </w:r>
    </w:p>
    <w:p>
      <w:pPr>
        <w:numPr>
          <w:ilvl w:val="0"/>
          <w:numId w:val="1"/>
        </w:numPr>
      </w:pPr>
      <w:r>
        <w:rPr/>
        <w:t xml:space="preserve">Проблемы реализации принципа свободы завещания и пути их решения проблемы правового регулирования и практики участия субъектов РФ в частноправовых отношениях и пути их решения</w:t>
      </w:r>
    </w:p>
    <w:p>
      <w:pPr>
        <w:numPr>
          <w:ilvl w:val="0"/>
          <w:numId w:val="1"/>
        </w:numPr>
      </w:pPr>
      <w:r>
        <w:rPr/>
        <w:t xml:space="preserve">Правовой статус субъектов управления многоквартирными домами</w:t>
      </w:r>
    </w:p>
    <w:p>
      <w:pPr>
        <w:numPr>
          <w:ilvl w:val="0"/>
          <w:numId w:val="1"/>
        </w:numPr>
      </w:pPr>
      <w:r>
        <w:rPr/>
        <w:t xml:space="preserve">Контроль за деятельностью по управлению многоквартирными домами</w:t>
      </w:r>
    </w:p>
    <w:p>
      <w:pPr>
        <w:numPr>
          <w:ilvl w:val="0"/>
          <w:numId w:val="1"/>
        </w:numPr>
      </w:pPr>
      <w:r>
        <w:rPr/>
        <w:t xml:space="preserve">Особенности установления юридических фактов в гражданском праве</w:t>
      </w:r>
    </w:p>
    <w:p>
      <w:pPr>
        <w:numPr>
          <w:ilvl w:val="0"/>
          <w:numId w:val="1"/>
        </w:numPr>
      </w:pPr>
      <w:r>
        <w:rPr/>
        <w:t xml:space="preserve">Взаимодействие гражданского процессуального права с публичными отраслями права</w:t>
      </w:r>
    </w:p>
    <w:p>
      <w:pPr>
        <w:numPr>
          <w:ilvl w:val="0"/>
          <w:numId w:val="1"/>
        </w:numPr>
      </w:pPr>
      <w:r>
        <w:rPr/>
        <w:t xml:space="preserve">46.Проблемы и перспективы совершенствования взаимодействия гражданского процессуального права с другими отраслями права</w:t>
      </w:r>
    </w:p>
    <w:p>
      <w:pPr>
        <w:numPr>
          <w:ilvl w:val="0"/>
          <w:numId w:val="1"/>
        </w:numPr>
      </w:pPr>
      <w:r>
        <w:rPr/>
        <w:t xml:space="preserve">Особенности рассмотрения дел о взыскании алиментов в порядке гражданского судопроизводства</w:t>
      </w:r>
    </w:p>
    <w:p>
      <w:pPr>
        <w:numPr>
          <w:ilvl w:val="0"/>
          <w:numId w:val="1"/>
        </w:numPr>
      </w:pPr>
      <w:r>
        <w:rPr/>
        <w:t xml:space="preserve">Исполнение решений о взыскании алиментов и проблемы правоприменительной практики</w:t>
      </w:r>
    </w:p>
    <w:p>
      <w:pPr>
        <w:numPr>
          <w:ilvl w:val="0"/>
          <w:numId w:val="1"/>
        </w:numPr>
      </w:pPr>
      <w:r>
        <w:rPr/>
        <w:t xml:space="preserve">Теоретические основы правового регулирования сети Интернет</w:t>
      </w:r>
    </w:p>
    <w:p>
      <w:pPr>
        <w:numPr>
          <w:ilvl w:val="0"/>
          <w:numId w:val="1"/>
        </w:numPr>
      </w:pPr>
      <w:r>
        <w:rPr/>
        <w:t xml:space="preserve">Правовое регулирование сети Интернет в Российской Федерации</w:t>
      </w:r>
    </w:p>
    <w:p>
      <w:pPr>
        <w:numPr>
          <w:ilvl w:val="0"/>
          <w:numId w:val="1"/>
        </w:numPr>
      </w:pPr>
      <w:r>
        <w:rPr/>
        <w:t xml:space="preserve">Практика применения электронного правосудия в судах общей юрисдикции и арбитражных судах</w:t>
      </w:r>
    </w:p>
    <w:p>
      <w:pPr>
        <w:numPr>
          <w:ilvl w:val="0"/>
          <w:numId w:val="1"/>
        </w:numPr>
      </w:pPr>
      <w:r>
        <w:rPr/>
        <w:t xml:space="preserve">Проблемы и перспективы развития электронного правосудия в Российской Федерации</w:t>
      </w:r>
    </w:p>
    <w:p>
      <w:pPr>
        <w:numPr>
          <w:ilvl w:val="0"/>
          <w:numId w:val="1"/>
        </w:numPr>
      </w:pPr>
      <w:r>
        <w:rPr/>
        <w:t xml:space="preserve">Основные тенденции развития гражданского судопроизводства в современной России</w:t>
      </w:r>
    </w:p>
    <w:p>
      <w:pPr>
        <w:numPr>
          <w:ilvl w:val="0"/>
          <w:numId w:val="1"/>
        </w:numPr>
      </w:pPr>
      <w:r>
        <w:rPr/>
        <w:t xml:space="preserve">Проблемы и перспективы развития апелляционного и кассационного производств</w:t>
      </w:r>
    </w:p>
    <w:p>
      <w:pPr>
        <w:numPr>
          <w:ilvl w:val="0"/>
          <w:numId w:val="1"/>
        </w:numPr>
      </w:pPr>
      <w:r>
        <w:rPr/>
        <w:t xml:space="preserve">Сравнительная характеристика заключения эксперта и консультации специалиста</w:t>
      </w:r>
    </w:p>
    <w:p/>
    <w:p>
      <w:pPr/>
      <w:r>
        <w:rPr/>
        <w:t xml:space="preserve">Зачет</w:t>
      </w:r>
    </w:p>
    <w:p>
      <w:pPr/>
      <w:r>
        <w:rPr/>
        <w:t xml:space="preserve">Тема проекта соответствует теме курсовой работы по дисциплине.</w:t>
      </w:r>
    </w:p>
    <w:p>
      <w:pPr>
        <w:numPr>
          <w:ilvl w:val="0"/>
          <w:numId w:val="2"/>
        </w:numPr>
      </w:pPr>
      <w:r>
        <w:rPr/>
        <w:t xml:space="preserve">Проведите SWOT-анализ текущего состояния</w:t>
      </w:r>
    </w:p>
    <w:p>
      <w:pPr>
        <w:numPr>
          <w:ilvl w:val="0"/>
          <w:numId w:val="2"/>
        </w:numPr>
      </w:pPr>
      <w:r>
        <w:rPr/>
        <w:t xml:space="preserve">На основе матрицы сформулируйте ключевые стратегические инициативы</w:t>
      </w:r>
    </w:p>
    <w:p>
      <w:pPr>
        <w:numPr>
          <w:ilvl w:val="0"/>
          <w:numId w:val="2"/>
        </w:numPr>
      </w:pPr>
      <w:r>
        <w:rPr/>
        <w:t xml:space="preserve">Разработайте план реализации одной из инициатив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Образовательные продукты:</w:t>
      </w:r>
    </w:p>
    <w:p>
      <w:pPr>
        <w:numPr>
          <w:ilvl w:val="0"/>
          <w:numId w:val="3"/>
        </w:numPr>
      </w:pPr>
      <w:r>
        <w:rPr/>
        <w:t xml:space="preserve">Презентация (10-12 слайдов), включающая SWOT-матрицу, стратегические выводы и план реализации.</w:t>
      </w:r>
    </w:p>
    <w:p>
      <w:pPr>
        <w:numPr>
          <w:ilvl w:val="0"/>
          <w:numId w:val="3"/>
        </w:numPr>
      </w:pPr>
      <w:r>
        <w:rPr/>
        <w:t xml:space="preserve">Краткий письменный меморандум (1-2 страницы) с обоснованием ключевых решений.</w:t>
      </w:r>
    </w:p>
    <w:p>
      <w:pPr/>
      <w:r>
        <w:rPr/>
        <w:t xml:space="preserve">Публичная защита (7-10 минут).</w:t>
      </w:r>
    </w:p>
    <w:p>
      <w:pPr/>
      <w:r>
        <w:rPr>
          <w:b w:val="1"/>
          <w:bCs w:val="1"/>
        </w:rPr>
        <w:t xml:space="preserve">Критерии оценивания:</w:t>
      </w:r>
      <w:br/>
      <w:r>
        <w:rPr/>
        <w:t xml:space="preserve">Максимальный балл за работу: </w:t>
      </w:r>
      <w:r>
        <w:rPr>
          <w:b w:val="1"/>
          <w:bCs w:val="1"/>
        </w:rPr>
        <w:t xml:space="preserve">10</w:t>
      </w:r>
      <w:r>
        <w:rPr/>
        <w:t xml:space="preserve">.</w:t>
      </w:r>
    </w:p>
    <w:p>
      <w:pPr/>
    </w:p>
    <w:p>
      <w:pPr/>
      <w:r>
        <w:rPr>
          <w:b w:val="1"/>
          <w:bCs w:val="1"/>
        </w:rPr>
        <w:t xml:space="preserve">Категория 1. Содержательная полнота и релевантность (0-4 балла):</w:t>
      </w:r>
    </w:p>
    <w:p>
      <w:pPr>
        <w:numPr>
          <w:ilvl w:val="0"/>
          <w:numId w:val="4"/>
        </w:numPr>
      </w:pPr>
      <w:r>
        <w:rPr/>
        <w:t xml:space="preserve">4 балла: По всем квадрантам предложено не менее 3-х пунктов, каждый из которых четко и логично относится к проекту, отражает понимание специфики юридического бизнеса и процедуры медиации.</w:t>
      </w:r>
    </w:p>
    <w:p>
      <w:pPr>
        <w:numPr>
          <w:ilvl w:val="0"/>
          <w:numId w:val="4"/>
        </w:numPr>
      </w:pPr>
      <w:r>
        <w:rPr/>
        <w:t xml:space="preserve">2-3 балла: Пункты в целом релевантны, но некоторые носят общий характер или их менее 3-х в одном из квадрантов.</w:t>
      </w:r>
    </w:p>
    <w:p>
      <w:pPr>
        <w:numPr>
          <w:ilvl w:val="0"/>
          <w:numId w:val="4"/>
        </w:numPr>
      </w:pPr>
      <w:r>
        <w:rPr/>
        <w:t xml:space="preserve">0-1 балл: Большинство пунктов носят абстрактный характер, не привязаны к кейсу, или анализ проведен не по всем квадрантам.</w:t>
      </w:r>
    </w:p>
    <w:p>
      <w:pPr/>
      <w:r>
        <w:rPr>
          <w:b w:val="1"/>
          <w:bCs w:val="1"/>
        </w:rPr>
        <w:t xml:space="preserve">Категория 2. Конкретность и аргументированность (0-3 балла):</w:t>
      </w:r>
    </w:p>
    <w:p>
      <w:pPr>
        <w:numPr>
          <w:ilvl w:val="0"/>
          <w:numId w:val="5"/>
        </w:numPr>
      </w:pPr>
      <w:r>
        <w:rPr/>
        <w:t xml:space="preserve">3 балла: Все пункты сформулированы конкретно, избегая клише (не «хорошая репутация», а «наличие у бюро устоявшейся клиентской базы из 50+ компаний МСБ, которые являются потенциальными потребителями услуги»).</w:t>
      </w:r>
    </w:p>
    <w:p>
      <w:pPr>
        <w:numPr>
          <w:ilvl w:val="0"/>
          <w:numId w:val="5"/>
        </w:numPr>
      </w:pPr>
      <w:r>
        <w:rPr/>
        <w:t xml:space="preserve">2 балла: Конкретность присутствует в большинстве пунктов.</w:t>
      </w:r>
    </w:p>
    <w:p>
      <w:pPr>
        <w:numPr>
          <w:ilvl w:val="0"/>
          <w:numId w:val="5"/>
        </w:numPr>
      </w:pPr>
      <w:r>
        <w:rPr/>
        <w:t xml:space="preserve">0-1 балл: Пункты представлены в виде общих фраз без детализации.</w:t>
      </w:r>
    </w:p>
    <w:p>
      <w:pPr>
        <w:numPr>
          <w:ilvl w:val="0"/>
          <w:numId w:val="6"/>
        </w:numPr>
      </w:pP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Категория 3. Логика и структура анализа (0-2 балла):</w:t>
      </w:r>
    </w:p>
    <w:p>
      <w:pPr>
        <w:numPr>
          <w:ilvl w:val="0"/>
          <w:numId w:val="7"/>
        </w:numPr>
      </w:pPr>
      <w:r>
        <w:rPr/>
        <w:t xml:space="preserve">2 балла: Четкое и безошибочное разделение факторов на внутренние и внешние.</w:t>
      </w:r>
    </w:p>
    <w:p>
      <w:pPr>
        <w:numPr>
          <w:ilvl w:val="0"/>
          <w:numId w:val="7"/>
        </w:numPr>
      </w:pPr>
      <w:r>
        <w:rPr/>
        <w:t xml:space="preserve">1 балл: Допущены 1-2 ошибки в категоризации факторов.</w:t>
      </w:r>
    </w:p>
    <w:p>
      <w:pPr>
        <w:numPr>
          <w:ilvl w:val="0"/>
          <w:numId w:val="7"/>
        </w:numPr>
      </w:pPr>
      <w:r>
        <w:rPr/>
        <w:t xml:space="preserve">0 баллов: Нарушена логика метода, факторы распределены хаотично.</w:t>
      </w:r>
    </w:p>
    <w:p>
      <w:pPr>
        <w:numPr>
          <w:ilvl w:val="0"/>
          <w:numId w:val="8"/>
        </w:numPr>
      </w:pP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Категория 4. Оформление и грамотность (0-1 балл):</w:t>
      </w:r>
    </w:p>
    <w:p>
      <w:pPr>
        <w:numPr>
          <w:ilvl w:val="0"/>
          <w:numId w:val="9"/>
        </w:numPr>
      </w:pPr>
      <w:r>
        <w:rPr/>
        <w:t xml:space="preserve">1 балл: Работа представлена в заданной табличной форме, текст грамотный, структурированный.</w:t>
      </w:r>
    </w:p>
    <w:p>
      <w:pPr>
        <w:numPr>
          <w:ilvl w:val="0"/>
          <w:numId w:val="9"/>
        </w:numPr>
      </w:pPr>
      <w:r>
        <w:rPr/>
        <w:t xml:space="preserve">0 баллов: Требования к оформлению не соблюдены.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5. Шкала перевода баллов в оценки (при использовании зачетной системы «зачтено/не зачтено»):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«Зачтено»:</w:t>
      </w:r>
      <w:r>
        <w:rPr/>
        <w:t xml:space="preserve"> 6 баллов и более.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«Не зачтено»:</w:t>
      </w:r>
      <w:r>
        <w:rPr/>
        <w:t xml:space="preserve"> менее 6 баллов.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Алгоритм для студента:</w:t>
      </w:r>
    </w:p>
    <w:p>
      <w:pPr>
        <w:numPr>
          <w:ilvl w:val="0"/>
          <w:numId w:val="12"/>
        </w:numPr>
      </w:pPr>
      <w:r>
        <w:rPr/>
        <w:t xml:space="preserve">Сфокусируйтесь: Выберите из темы конкретный, узкий аспект для проекта.</w:t>
      </w:r>
    </w:p>
    <w:p>
      <w:pPr>
        <w:numPr>
          <w:ilvl w:val="0"/>
          <w:numId w:val="12"/>
        </w:numPr>
      </w:pPr>
      <w:r>
        <w:rPr/>
        <w:t xml:space="preserve">Определите объект: Что я анализирую? (Закон, практику, алгоритм, риски клиента).</w:t>
      </w:r>
    </w:p>
    <w:p>
      <w:pPr>
        <w:numPr>
          <w:ilvl w:val="0"/>
          <w:numId w:val="12"/>
        </w:numPr>
      </w:pPr>
      <w:r>
        <w:rPr/>
        <w:t xml:space="preserve">Заполните матрицу: Смотрите на объект изнутри (S/W) и со стороны внешней среды (O/T).</w:t>
      </w:r>
    </w:p>
    <w:p>
      <w:pPr>
        <w:numPr>
          <w:ilvl w:val="0"/>
          <w:numId w:val="12"/>
        </w:numPr>
      </w:pPr>
      <w:r>
        <w:rPr/>
        <w:t xml:space="preserve">Сформулируйте стратегию: Ответьте на вопрос: «Исходя из этого анализа, какой главный вывод/рекомендацию/инструмент я предлагаю?»</w:t>
      </w:r>
    </w:p>
    <w:p>
      <w:pPr>
        <w:numPr>
          <w:ilvl w:val="0"/>
          <w:numId w:val="12"/>
        </w:numPr>
      </w:pPr>
      <w:r>
        <w:rPr/>
        <w:t xml:space="preserve">Оформите результат: Ваш SWOT — это не цель, а доказательная база для ваших выводов по теме.</w:t>
      </w:r>
    </w:p>
    <w:p>
      <w:pPr/>
      <w:br/>
      <w:r>
        <w:rPr>
          <w:b w:val="1"/>
          <w:bCs w:val="1"/>
        </w:rPr>
        <w:t xml:space="preserve">Пример:  </w:t>
      </w:r>
      <w:r>
        <w:rPr>
          <w:b w:val="1"/>
          <w:bCs w:val="1"/>
        </w:rPr>
        <w:t xml:space="preserve">Объект анализа:</w:t>
      </w:r>
      <w:r>
        <w:rPr/>
        <w:t xml:space="preserve"> Проект по разработке алгоритма действий юриста (или изменений в законодательство) для решения конкретной проблемы.  </w:t>
      </w:r>
    </w:p>
    <w:p>
      <w:pPr/>
      <w:r>
        <w:rPr>
          <w:i w:val="1"/>
          <w:iCs w:val="1"/>
        </w:rPr>
        <w:t xml:space="preserve">Проект: «Внедрение досудебного медиативного механизма для взыскания долгов по исполнительным листам на сумму до 500 тыс. руб.».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 (внутренние силы проекта):</w:t>
      </w:r>
      <w:r>
        <w:rPr/>
        <w:t xml:space="preserve"> Относительная простота процедуры; возможность снизить нагрузку на ФССП.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 (внутренние слабости):</w:t>
      </w:r>
      <w:r>
        <w:rPr/>
        <w:t xml:space="preserve"> Недоверие сторон друг к другу после суда; отсутствие обязательности.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 (внешние возможности):</w:t>
      </w:r>
      <w:r>
        <w:rPr/>
        <w:t xml:space="preserve"> Государственная политика, поддерживающая медиацию; растущая правовая культура.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 (внешние угрозы):</w:t>
      </w:r>
      <w:r>
        <w:rPr/>
        <w:t xml:space="preserve"> Противодействие со стороны коллекторских агентств; консерватизм судебных приставов.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Стратегия (S-O):</w:t>
      </w:r>
      <w:r>
        <w:rPr/>
        <w:t xml:space="preserve"> Используя простоту процедуры (S) и госполитику (O), разработать типовое медиативное соглашение с гарантией исполнимости у нотариуса.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Ключевая цель внедрения метода - Научить студентов применять SWOT-анализ как инструмент стратегического обоснования решений в юридической практике, а не как формальное упражнение.</w:t>
      </w:r>
    </w:p>
    <w:p>
      <w:pPr>
        <w:numPr>
          <w:ilvl w:val="0"/>
          <w:numId w:val="14"/>
        </w:numPr>
      </w:pPr>
      <w:r>
        <w:rPr/>
        <w:t xml:space="preserve">Контекстуализация: Рассматривать метод через призму конкретных юридических тем курса (наследственное право, сделки, исполнительное производство и др.).</w:t>
      </w:r>
    </w:p>
    <w:p>
      <w:pPr>
        <w:numPr>
          <w:ilvl w:val="0"/>
          <w:numId w:val="14"/>
        </w:numPr>
      </w:pPr>
      <w:r>
        <w:rPr/>
        <w:t xml:space="preserve">От общего к профессиональному: От базовой модели → к типичным ошибкам → к юридической специфике.</w:t>
      </w:r>
    </w:p>
    <w:p>
      <w:pPr>
        <w:numPr>
          <w:ilvl w:val="0"/>
          <w:numId w:val="14"/>
        </w:numPr>
      </w:pPr>
      <w:r>
        <w:rPr/>
        <w:t xml:space="preserve">Акцент на действии: SWOT без стратегических выводов (S-O, W-T стратегий) неполноценен. Требуйте конкретных рекомендаций.</w:t>
      </w:r>
    </w:p>
    <w:p>
      <w:pPr/>
      <w:r>
        <w:rPr/>
        <w:t xml:space="preserve">В рамках текущего контроля: работа с готовым детальным кейсом.</w:t>
      </w:r>
      <w:br/>
      <w:r>
        <w:rPr/>
        <w:t xml:space="preserve">Промежуточная и текущая аттестация (проект): Самостоятельный анализ проблемы в рамках заданной темы.</w:t>
      </w:r>
    </w:p>
    <w:p>
      <w:pPr/>
      <w:r>
        <w:rPr/>
        <w:t xml:space="preserve">Ключевые критерии оценки:</w:t>
      </w:r>
    </w:p>
    <w:p>
      <w:pPr>
        <w:numPr>
          <w:ilvl w:val="0"/>
          <w:numId w:val="15"/>
        </w:numPr>
      </w:pPr>
      <w:r>
        <w:rPr/>
        <w:t xml:space="preserve">Релевантность и конкретность (юридическая специфика вместо общих фраз).</w:t>
      </w:r>
    </w:p>
    <w:p>
      <w:pPr>
        <w:numPr>
          <w:ilvl w:val="0"/>
          <w:numId w:val="15"/>
        </w:numPr>
      </w:pPr>
      <w:r>
        <w:rPr/>
        <w:t xml:space="preserve">Правильная категоризация (внутреннее/внешнее).</w:t>
      </w:r>
    </w:p>
    <w:p>
      <w:pPr>
        <w:numPr>
          <w:ilvl w:val="0"/>
          <w:numId w:val="15"/>
        </w:numPr>
      </w:pPr>
      <w:r>
        <w:rPr/>
        <w:t xml:space="preserve">Наличие стратегических выводов на основе пересечений квадрантов.</w:t>
      </w:r>
    </w:p>
    <w:p>
      <w:pPr>
        <w:numPr>
          <w:ilvl w:val="0"/>
          <w:numId w:val="15"/>
        </w:numPr>
      </w:pPr>
      <w:r>
        <w:rPr/>
        <w:t xml:space="preserve">Практическая применимость рекомендаций.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Проектное управление в органах власти : учебник для вузов / Н. С. Гегедюш [и др.] ; ответственный редактор Н. С. Гегедюш. — 3-е изд., перераб. и доп. — Москва : Издательство Юрайт, 2024. — 223 с. — (Высшее образование). — ISBN 978-5-534-18461-7.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https://urait.ru/bcode/535069 </w:t>
        </w:r>
      </w:hyperlink>
      <w:br/>
      <w:br/>
      <w:r>
        <w:rPr/>
        <w:t xml:space="preserve">Бурмистрова, Е. В.  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Издательство Юрайт, 2024. — 115 с. — (Высшее образование). — ISBN 978-5-534-15400-9. — Текст : электронный // Образовательная платформа Юрайт [сайт]. — URL: https://urait.ru/bcode/544679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11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CF5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7E2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7D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E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79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2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1C7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04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FDB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2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90E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42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C7A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BA6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2D24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2026-04-23T19:15:02+03:00</dcterms:created>
  <dcterms:modified xsi:type="dcterms:W3CDTF">2026-04-23T19:15:02+03:00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