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ОБЕСПЕЧЕНИЕ ПРАВ УЧАСТНИКОВ ГРАЖДАНСКО-ПРАВОВЫХ ОТНОШЕНИЙ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 </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Способен проводить мероприятия по получению юридически значимой информации, анализу, проверке, оценке и использовании ее в интересах расследования преступлений</w:t>
            </w:r>
          </w:p>
        </w:tc>
        <w:tc>
          <w:tcPr>
            <w:tcW w:w="3100" w:type="dxa"/>
            <w:noWrap/>
          </w:tcPr>
          <w:p>
            <w:pPr/>
            <w:r>
              <w:rPr/>
              <w:t xml:space="preserve">ПК-8.1. Знает порядок и правила получения юридически значимой информации для использования ее в интересах расследования преступлений;</w:t>
            </w:r>
          </w:p>
          <w:p/>
          <w:p>
            <w:pPr/>
            <w:r>
              <w:rPr/>
              <w:t xml:space="preserve">ПК-8.2. Проводит мероприятия по получению юридически значимой информации, анализу, проверке, оценке и использовании ее в интересах расследования преступлений;</w:t>
            </w:r>
          </w:p>
          <w:p/>
          <w:p>
            <w:pPr/>
            <w:r>
              <w:rPr/>
              <w:t xml:space="preserve">ПК-8.3. Владеет навыками проведения мероприятий  по получению юридически значимой информации, анализу, проверке, оценке и использовании ее в интересах расследования преступлений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Обеспечение прав участников гражданско-правовых отношений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Задаток.Независимая гарантия</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Поручительство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Залог как способ обеспечения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Общие положения об обеспечении обязательств. Неустойка</w:t>
            </w:r>
          </w:p>
        </w:tc>
        <w:tc>
          <w:tcPr>
            <w:noWrap/>
          </w:tcPr>
          <w:p>
            <w:pPr>
              <w:jc w:val="left"/>
              <w:ind w:left="0" w:right="0" w:firstLine="0" w:hanging="0"/>
            </w:pPr>
            <w:r>
              <w:rPr/>
              <w:t xml:space="preserve">64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функции задатка. Неденежный «задаток». Соотношение задатка и аванса. Последствия нарушения обязательства, обеспеченного задатком. Понятие нарушения: соотношение неисполнения и ненадлежащего исполнения. Задаток по предварительному договору.Понятие независимой гарантии. Субъектный состав независимой гарантии. Основания возникновения гарантийного обязательства. Соглашение между гарантом и принципалом. Плата за выдачу гарантии. Соотношение независимой гарантии и страхования ответственности по договору. Соотношение независимой гарантии и поручительства.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Правовая природа договора поручительства. Виды обязательств, обеспечение которых возможно поручительством. Момент, до которого допускается привлечение поручителя. Поручительство и исполнение обязательства третьим лицом. Согласие должника на поручительство. Оформление отношений должника и поручителя. Недобросовестное использование поручительства в целях обхода законодательства: изменение подсудности спора, обход правил о запрете уступки и др. Возражения, которые может противопоставить поручитель требованию кредитора в силу закона или договора.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Вещная и обязательственная концепция залога. Залог с передачей и без передачи владения залогодержателю. Залог со стороны третьего лица. Ипотека. Залог в силу закона: разновидности по российскому законодательству и правовые проблемы. Порядок регистрации при ее необходимости в силу специфики объекта залога. Залог товаров в обороте. Залог товаров на складе (использование складских свидетельств). Объекты, ограниченные в обороте. Объем имущества, находящегося в залоге. Залог движимых транспортных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способов обеспечения исполнения обязательств и их место в системе гражданского права. Классификации. Способы обеспечения – гарантия исполнения обязательств. Виды обязательств и виды обеспечения. Определение и признаки способов обеспечения. Абсолютная и относительная акцессорность. Понятие неустойки, вопрос о допустимости «товарной неустойки». Неустойка как обязательство. Неустойка как мера ответственности. Вопросы квалификации повышенных процентов в кредитном договоре. Исковая давность по требованиям об уплате неустойки. Виды неустоек: штраф и пени, законная и договорная.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Объем ответственности поручителя по долгам должника. Особенности солидарной и субсидиарной ответственности поручителя. Обеспечение исполнения обязательств поручителя. Последствия исполнения поручителем обеспечиваемого обязательства: переход прав к должнику, переход прав залогодержателя, проблема перехода прав к другому поручителю, начисление процентов на уплаченную сумму. Извещение об исполнении обязательства – предотвращение двойного исполнения. Основания прекращения поручительства.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Последующий залог, установление баланса интересов участников. Пользование и распоряжение предметом залога. Сохранение залога при переходе права собственности на заложенное имущество (право следования). Защита добросовестного лица в залоговых правоотношениях: добросовестное приобретение права залога, прекращение права залога в случае приобретения вещи добросовестным приобретателем. Порядок принятия решений об обращении взыскания на предмет залога. Внесудебная реализация предмета залога. Оценка предмета залога и начальная продажная цена на торгах. Отсрочка обращения взыскания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Постановлением Пленума Верховного Суда РФ от 24.03.2016 N 7 (ред. от 22.06.2021) &amp;amp;quot;О применении судами некоторых положений Гражданского кодекса Российской Федерации об ответственности за нарушение обязательств&amp;amp;quot</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Постановлением Пленума Верховного Суда РФ от 24.12.2020 N 45 &amp;amp;amp;quot;О некоторых вопросах разрешения споров о поручительстве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Постановлением Пленума ВАС РФ от 17.02.2011 N 10 &amp;amp;quot;О некоторых вопросах применения законодательства о залоге&amp;amp;quot;</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со статьей Р.С.Бевзенко  &amp;amp;quot;Акцессорность обеспечительных обязательств: европейская правовая традиция и российская практика&amp;amp;quot;</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традиционные формы обучения (практическое занятие);</w:t>
      </w:r>
    </w:p>
    <w:p>
      <w:pPr/>
      <w:r>
        <w:rPr/>
        <w:t xml:space="preserve">2) 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numPr>
          <w:ilvl w:val="0"/>
          <w:numId w:val="1"/>
        </w:numPr>
      </w:pPr>
      <w:r>
        <w:rPr/>
        <w:t xml:space="preserve">Кутышев планировал купить у Миронова 3-комнатную квартиру стоимостью 3 млн.руб., в связи с чем между сторонами было подписано соглашение о задатке и выплачена сумма по договору 30 000 руб. в качестве задатка и 200 000 в качестве платежа по договору. Соглашением о задатке был предусмотрен срок заключения договора – 31.12.2019 г.</w:t>
      </w:r>
    </w:p>
    <w:p>
      <w:pPr/>
      <w:r>
        <w:rPr/>
        <w:t xml:space="preserve">Договор между сторонами заключен не был ввиду того, что банк отказался выдать кредит покупателю (Кутышеву). При этом Миронов вернул Кутышеву 200 000 руб. лишь 01 марта 2020 года, несмотря на постоянные письменные просьбы о возврате все суммы Кутышева.</w:t>
      </w:r>
    </w:p>
    <w:p>
      <w:pPr/>
      <w:r>
        <w:rPr/>
        <w:t xml:space="preserve">Правомерны ли требования Кутышева о возврате всей суммы (230 000 руб.). Применима ли здесь ст. 395 ГК РФ?</w:t>
      </w:r>
    </w:p>
    <w:p>
      <w:pPr/>
      <w:r>
        <w:rPr/>
        <w:t xml:space="preserve"> </w:t>
      </w:r>
    </w:p>
    <w:p>
      <w:pPr>
        <w:numPr>
          <w:ilvl w:val="0"/>
          <w:numId w:val="2"/>
        </w:numPr>
      </w:pPr>
      <w:r>
        <w:rPr/>
        <w:t xml:space="preserve">В 2013 г. ОАО «Ямал» передало ООО «Ремжелдортех» автомотрису (рельсовый автобус) для капитального ремонта.</w:t>
      </w:r>
    </w:p>
    <w:p>
      <w:pPr/>
      <w:r>
        <w:rPr/>
        <w:t xml:space="preserve">Решением Арбитражного суда г. Москвы от 30 октября 2014 г. было установлено, что заказчик работы принял, но оплатил только их часть, в связи с чем с него надлежит взыскать в пользу подрядчика 5,5 млн руб. задолженности по оплате выполненных ремонтных работ и более 270 тыс. руб. неустойки, начисленной на сумму долга.</w:t>
      </w:r>
    </w:p>
    <w:p>
      <w:pPr/>
      <w:r>
        <w:rPr/>
        <w:t xml:space="preserve"> 31 ноября 2014 г. «Ремжелдортех» уведомил заказчика об удержании автомотрисы с принятием ее на ответственное хранение до полной уплаты задолженности.</w:t>
      </w:r>
    </w:p>
    <w:p>
      <w:pPr/>
      <w:r>
        <w:rPr/>
        <w:t xml:space="preserve">ОАО «Ямал» со ссылкой на статьи 301 и 302 ГК РФ обратилось с иском в суд об истребовании вещи из чужого незаконного владения.</w:t>
      </w:r>
    </w:p>
    <w:p>
      <w:pPr/>
      <w:r>
        <w:rPr/>
        <w:t xml:space="preserve">Оцените правомерность этих требований.</w:t>
      </w:r>
    </w:p>
    <w:p/>
    <w:p>
      <w:pPr/>
      <w:r>
        <w:rPr/>
        <w:t xml:space="preserve">5.2. Промежуточная аттестация проводится в виде:</w:t>
      </w:r>
    </w:p>
    <w:p/>
    <w:p>
      <w:pPr/>
      <w:r>
        <w:rPr/>
        <w:t xml:space="preserve">Экзамен</w:t>
      </w:r>
    </w:p>
    <w:p>
      <w:pPr>
        <w:numPr>
          <w:ilvl w:val="0"/>
          <w:numId w:val="3"/>
        </w:numPr>
      </w:pPr>
      <w:r>
        <w:rPr/>
        <w:t xml:space="preserve">Понятие и способы обеспечения обязательств в ГК РФ. </w:t>
      </w:r>
      <w:r>
        <w:rPr/>
        <w:t xml:space="preserve">Цель и правовая основа.</w:t>
      </w:r>
    </w:p>
    <w:p>
      <w:pPr>
        <w:numPr>
          <w:ilvl w:val="0"/>
          <w:numId w:val="3"/>
        </w:numPr>
      </w:pPr>
      <w:r>
        <w:rPr/>
        <w:t xml:space="preserve">Неустойка как способ обеспечения исполнения обязательств. </w:t>
      </w:r>
      <w:r>
        <w:rPr/>
        <w:t xml:space="preserve">Форма соглашения о неустойке.</w:t>
      </w:r>
    </w:p>
    <w:p>
      <w:pPr>
        <w:numPr>
          <w:ilvl w:val="0"/>
          <w:numId w:val="3"/>
        </w:numPr>
      </w:pPr>
      <w:r>
        <w:rPr/>
        <w:t xml:space="preserve">Виды неустойки. Основания для снижения размера неустойки.</w:t>
      </w:r>
    </w:p>
    <w:p>
      <w:pPr>
        <w:numPr>
          <w:ilvl w:val="0"/>
          <w:numId w:val="3"/>
        </w:numPr>
      </w:pPr>
      <w:r>
        <w:rPr/>
        <w:t xml:space="preserve">Залог. Понятие залога и основания возникновения залога.</w:t>
      </w:r>
    </w:p>
    <w:p>
      <w:pPr>
        <w:numPr>
          <w:ilvl w:val="0"/>
          <w:numId w:val="3"/>
        </w:numPr>
      </w:pPr>
      <w:r>
        <w:rPr/>
        <w:t xml:space="preserve">Залогодатель, залогодержатель, созалогодержатели.</w:t>
      </w:r>
    </w:p>
    <w:p>
      <w:pPr>
        <w:numPr>
          <w:ilvl w:val="0"/>
          <w:numId w:val="3"/>
        </w:numPr>
      </w:pPr>
      <w:r>
        <w:rPr/>
        <w:t xml:space="preserve">Очередность удовлетворения требований залогодержателей.</w:t>
      </w:r>
    </w:p>
    <w:p>
      <w:pPr>
        <w:numPr>
          <w:ilvl w:val="0"/>
          <w:numId w:val="3"/>
        </w:numPr>
      </w:pPr>
      <w:r>
        <w:rPr/>
        <w:t xml:space="preserve">Порядок обращения взыскания на заложенное имущество.</w:t>
      </w:r>
    </w:p>
    <w:p>
      <w:pPr>
        <w:numPr>
          <w:ilvl w:val="0"/>
          <w:numId w:val="3"/>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3"/>
        </w:numPr>
      </w:pPr>
      <w:r>
        <w:rPr/>
        <w:t xml:space="preserve">Основания прекращения залога.</w:t>
      </w:r>
    </w:p>
    <w:p>
      <w:pPr>
        <w:numPr>
          <w:ilvl w:val="0"/>
          <w:numId w:val="3"/>
        </w:numPr>
      </w:pPr>
      <w:r>
        <w:rPr/>
        <w:t xml:space="preserve">Три вида эластичности залога.</w:t>
      </w:r>
    </w:p>
    <w:p>
      <w:pPr>
        <w:numPr>
          <w:ilvl w:val="0"/>
          <w:numId w:val="3"/>
        </w:numPr>
      </w:pPr>
      <w:r>
        <w:rPr/>
        <w:t xml:space="preserve">Удержание вещи как способ обеспечения исполнения обязательств по договору.</w:t>
      </w:r>
    </w:p>
    <w:p>
      <w:pPr>
        <w:numPr>
          <w:ilvl w:val="0"/>
          <w:numId w:val="3"/>
        </w:numPr>
      </w:pPr>
      <w:r>
        <w:rPr/>
        <w:t xml:space="preserve">Поручительство как способ обеспечения исполнения обязательств по договору.</w:t>
      </w:r>
    </w:p>
    <w:p>
      <w:pPr>
        <w:numPr>
          <w:ilvl w:val="0"/>
          <w:numId w:val="3"/>
        </w:numPr>
      </w:pPr>
      <w:r>
        <w:rPr/>
        <w:t xml:space="preserve">Сроки в поручительстве.</w:t>
      </w:r>
    </w:p>
    <w:p>
      <w:pPr>
        <w:numPr>
          <w:ilvl w:val="0"/>
          <w:numId w:val="3"/>
        </w:numPr>
      </w:pPr>
      <w:r>
        <w:rPr/>
        <w:t xml:space="preserve">Объем ответственности поручителя. Ответственность нескольких поручителей.</w:t>
      </w:r>
    </w:p>
    <w:p>
      <w:pPr>
        <w:numPr>
          <w:ilvl w:val="0"/>
          <w:numId w:val="3"/>
        </w:numPr>
      </w:pPr>
      <w:r>
        <w:rPr/>
        <w:t xml:space="preserve">Прекращение поручительства.</w:t>
      </w:r>
    </w:p>
    <w:p>
      <w:pPr>
        <w:numPr>
          <w:ilvl w:val="0"/>
          <w:numId w:val="3"/>
        </w:numPr>
      </w:pPr>
      <w:r>
        <w:rPr/>
        <w:t xml:space="preserve">Задаток как способ обеспечения исполнения обязательств по договору.</w:t>
      </w:r>
    </w:p>
    <w:p>
      <w:pPr>
        <w:numPr>
          <w:ilvl w:val="0"/>
          <w:numId w:val="3"/>
        </w:numPr>
      </w:pPr>
      <w:r>
        <w:rPr/>
        <w:t xml:space="preserve">Обеспечительный платеж как способ обеспечения исполнения обязательств по договору.</w:t>
      </w:r>
    </w:p>
    <w:p>
      <w:pPr>
        <w:numPr>
          <w:ilvl w:val="0"/>
          <w:numId w:val="3"/>
        </w:numPr>
      </w:pPr>
      <w:r>
        <w:rPr/>
        <w:t xml:space="preserve">Независимая гарантия.</w:t>
      </w:r>
    </w:p>
    <w:p>
      <w:pPr>
        <w:numPr>
          <w:ilvl w:val="0"/>
          <w:numId w:val="3"/>
        </w:numPr>
      </w:pPr>
      <w:r>
        <w:rPr/>
        <w:t xml:space="preserve">Акцессорность обеспечительных обязательств.</w:t>
      </w:r>
    </w:p>
    <w:p>
      <w:pPr/>
      <w:r>
        <w:rPr/>
        <w:t xml:space="preserve"> </w:t>
      </w:r>
    </w:p>
    <w:p/>
    <w:p>
      <w:pPr/>
      <w:r>
        <w:rPr/>
        <w:t xml:space="preserve">Экзамен1.	Понятие и способы обеспечения обязательств в ГК РФ. Цель и правовая основа.2.	Неустойка как способ обеспечения исполнения обязательств. Форма соглашения о неустойке.3.	Виды неустойки. Основания для снижения размера неустойки.4.	Залог. Понятие залога и основания возникновения залога.5.	Залогодатель, залогодержатель, созалогодержатели.6.	Очередность удовлетворения требований залогодержателей.7.	Порядок обращения взыскания на заложенное имущество.8.	Реестр уведомлений о залоге: особенности внесения данных о движимых и недвижимых вещах, значение реестровой записи.9.	Основания прекращения залога.10.	Три вида эластичности залога.11.	Удержание вещи как способ обеспечения исполнения обязательств по договору.12.	Поручительство как способ обеспечения исполнения обязательств по договору.13.	Сроки в поручительстве.14.	Объем ответственности поручителя. Ответственность нескольких поручителей.15.	Прекращение поручительства.16.	Задаток как способ обеспечения исполнения обязательств по договору.17.	Обеспечительный платеж как способ обеспечения исполнения обязательств по договору.18.	Независимая гарантия.19.	Акцессорность обеспечительных обязательств.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формой самостоятельной работы магистранта является изучение конспекта лекций, их дополнение и судебных актов. Но для успешной учебной деятельности, ее интенсификации, необходимо учитывать следующие субъективные факторы:</w:t>
      </w:r>
    </w:p>
    <w:p>
      <w:pPr/>
      <w:r>
        <w:rPr/>
        <w:t xml:space="preserve">Наличие прочной системы зияний, необходимой для усвоения основных вузовских курсов. Это особенно важно для математических дисциплин. Необходимо отличать пробелы в знаниях, затрудняющие усвоение нового материала, от малых способностей. Затратив силы на преодоление этих пробелов, студент обеспечит себе нормальную успеваемость и поверит в свои способности.</w:t>
      </w:r>
    </w:p>
    <w:p>
      <w:pPr/>
      <w:r>
        <w:rPr/>
        <w:t xml:space="preserve"> </w:t>
      </w:r>
      <w:r>
        <w:rPr/>
        <w:t xml:space="preserve">Наличие умений, навыков умственного труда:</w:t>
      </w:r>
    </w:p>
    <w:p>
      <w:pPr/>
      <w:r>
        <w:rPr/>
        <w:t xml:space="preserve">а) умение конспектировать на лекции и при работе с книгой;</w:t>
      </w:r>
    </w:p>
    <w:p>
      <w:pPr/>
      <w:r>
        <w:rPr/>
        <w:t xml:space="preserve">б) владение логическими операциями: сравнение, анализ, синтез, обобщение, определение понятий, правила систематизации и классификации.</w:t>
      </w:r>
    </w:p>
    <w:p>
      <w:pPr/>
      <w:r>
        <w:rPr/>
        <w:t xml:space="preserve">Специфика познавательных психических процессов: внимание, память, речь, наблюдательность, интеллект и мышление.</w:t>
      </w:r>
    </w:p>
    <w:p>
      <w:pPr/>
      <w:r>
        <w:rPr/>
        <w:t xml:space="preserve">Хорошая работоспособность, которая обеспечивается нормальным физическим состоянием.</w:t>
      </w:r>
    </w:p>
    <w:p>
      <w:pPr/>
      <w:r>
        <w:rPr/>
        <w:t xml:space="preserve">Соответствие избранной деятельности, профессии индивидуальным способностям. Необходимо выработать у себя умение саморегулировать свое эмоциональное состояние и устранять обстоятельства, нарушающие деловой настрой, мешающие намеченной работе.</w:t>
      </w:r>
    </w:p>
    <w:p>
      <w:pPr/>
      <w:r>
        <w:rPr/>
        <w:t xml:space="preserve">Овладение оптимальным стилем работы, обеспечивающим успех в деятельности. Чередование труда и пауз в работе, периоды отдыха, индивидуально обоснованная норма продолжительности сна, предпочтение вечерних или утренних занятий, стрессоустойчивость на экзаменах и особенности подготовки к ним,</w:t>
      </w:r>
    </w:p>
    <w:p>
      <w:pPr/>
      <w:r>
        <w:rPr/>
        <w:t xml:space="preserve">Уровень требований к себе, определяемый сложившейся самооценкой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4"/>
        </w:numPr>
      </w:pPr>
      <w:r>
        <w:rPr>
          <w:b w:val="1"/>
          <w:bCs w:val="1"/>
        </w:rPr>
        <w:t xml:space="preserve"> Методические рекомендации преподавателям по дисциплине</w:t>
      </w:r>
    </w:p>
    <w:p>
      <w:pPr/>
      <w:r>
        <w:rPr/>
        <w:t xml:space="preserve">В случае замены основного преподавателя, читающего курс «Обеспечение прав участников гражданско-правовых отношений", следует придерживаться следующих рекомендаций:</w:t>
      </w:r>
    </w:p>
    <w:p>
      <w:pPr>
        <w:numPr>
          <w:ilvl w:val="0"/>
          <w:numId w:val="5"/>
        </w:numPr>
      </w:pPr>
      <w:r>
        <w:rPr/>
        <w:t xml:space="preserve">Давать лекционный материал с учетом пояснений, данных к каждому тематическому разделу.</w:t>
      </w:r>
    </w:p>
    <w:p>
      <w:pPr>
        <w:numPr>
          <w:ilvl w:val="0"/>
          <w:numId w:val="5"/>
        </w:numPr>
      </w:pPr>
      <w:r>
        <w:rPr/>
        <w:t xml:space="preserve">Рекомендовать студентам иметь на занятиях Гражданский кодекс РФ.</w:t>
      </w:r>
    </w:p>
    <w:p>
      <w:pPr>
        <w:numPr>
          <w:ilvl w:val="0"/>
          <w:numId w:val="5"/>
        </w:numPr>
      </w:pPr>
      <w:r>
        <w:rPr/>
        <w:t xml:space="preserve">Ориентировать студентов на использование списка литературы, данного в программе.</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8.1. Основная литература:</w:t>
      </w:r>
    </w:p>
    <w:p>
      <w:pPr>
        <w:numPr>
          <w:ilvl w:val="0"/>
          <w:numId w:val="6"/>
        </w:numPr>
      </w:pPr>
      <w:r>
        <w:rPr/>
        <w:t xml:space="preserve">Анисимов А.П., Рыженков А.Я., Чаркин С.А., Гражданское право России. Особенная часть 3-е изд., пер. и доп. Учебник для академического бакалавриата, М.:Издательство Юрайт, 2015 [режим доступа] </w:t>
      </w:r>
      <w:r>
        <w:rPr/>
        <w:t xml:space="preserve">http</w:t>
      </w:r>
      <w:r>
        <w:rPr/>
        <w:t xml:space="preserve">://</w:t>
      </w:r>
      <w:r>
        <w:rPr/>
        <w:t xml:space="preserve">biblio</w:t>
      </w:r>
      <w:r>
        <w:rPr/>
        <w:t xml:space="preserve">-</w:t>
      </w:r>
      <w:r>
        <w:rPr/>
        <w:t xml:space="preserve">online</w:t>
      </w:r>
      <w:r>
        <w:rPr/>
        <w:t xml:space="preserve">.</w:t>
      </w:r>
      <w:r>
        <w:rPr/>
        <w:t xml:space="preserve">ru</w:t>
      </w:r>
      <w:r>
        <w:rPr/>
        <w:t xml:space="preserve">/</w:t>
      </w:r>
      <w:r>
        <w:rPr/>
        <w:t xml:space="preserve">home</w:t>
      </w:r>
      <w:r>
        <w:rPr/>
        <w:t xml:space="preserve">/%25</w:t>
      </w:r>
      <w:r>
        <w:rPr/>
        <w:t xml:space="preserve">D</w:t>
      </w:r>
      <w:r>
        <w:rPr/>
        <w:t xml:space="preserve">0%25</w:t>
      </w:r>
      <w:r>
        <w:rPr/>
        <w:t xml:space="preserve">B</w:t>
      </w:r>
      <w:r>
        <w:rPr/>
        <w:t xml:space="preserve">3%25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6%25</w:t>
      </w:r>
      <w:r>
        <w:rPr/>
        <w:t xml:space="preserve">D</w:t>
      </w:r>
      <w:r>
        <w:rPr/>
        <w:t xml:space="preserve">0%25</w:t>
      </w:r>
      <w:r>
        <w:rPr/>
        <w:t xml:space="preserve">B</w:t>
      </w:r>
      <w:r>
        <w:rPr/>
        <w:t xml:space="preserve">4%25</w:t>
      </w:r>
      <w:r>
        <w:rPr/>
        <w:t xml:space="preserve">D</w:t>
      </w:r>
      <w:r>
        <w:rPr/>
        <w:t xml:space="preserve">0%25</w:t>
      </w:r>
      <w:r>
        <w:rPr/>
        <w:t xml:space="preserve">B</w:t>
      </w:r>
      <w:r>
        <w:rPr/>
        <w:t xml:space="preserve">0%25</w:t>
      </w:r>
      <w:r>
        <w:rPr/>
        <w:t xml:space="preserve">D</w:t>
      </w:r>
      <w:r>
        <w:rPr/>
        <w:t xml:space="preserve">0%25</w:t>
      </w:r>
      <w:r>
        <w:rPr/>
        <w:t xml:space="preserve">BD</w:t>
      </w:r>
      <w:r>
        <w:rPr/>
        <w:t xml:space="preserve">%25</w:t>
      </w:r>
      <w:r>
        <w:rPr/>
        <w:t xml:space="preserve">D</w:t>
      </w:r>
      <w:r>
        <w:rPr/>
        <w:t xml:space="preserve">1%2581%25</w:t>
      </w:r>
      <w:r>
        <w:rPr/>
        <w:t xml:space="preserve">D</w:t>
      </w:r>
      <w:r>
        <w:rPr/>
        <w:t xml:space="preserve">0%25</w:t>
      </w:r>
      <w:r>
        <w:rPr/>
        <w:t xml:space="preserve">BA</w:t>
      </w:r>
      <w:r>
        <w:rPr/>
        <w:t xml:space="preserve">%25</w:t>
      </w:r>
      <w:r>
        <w:rPr/>
        <w:t xml:space="preserve">D</w:t>
      </w:r>
      <w:r>
        <w:rPr/>
        <w:t xml:space="preserve">0%25</w:t>
      </w:r>
      <w:r>
        <w:rPr/>
        <w:t xml:space="preserve">BE</w:t>
      </w:r>
      <w:r>
        <w:rPr/>
        <w:t xml:space="preserve">%25</w:t>
      </w:r>
      <w:r>
        <w:rPr/>
        <w:t xml:space="preserve">D</w:t>
      </w:r>
      <w:r>
        <w:rPr/>
        <w:t xml:space="preserve">0%25</w:t>
      </w:r>
      <w:r>
        <w:rPr/>
        <w:t xml:space="preserve">B</w:t>
      </w:r>
      <w:r>
        <w:rPr/>
        <w:t xml:space="preserve">5+%25</w:t>
      </w:r>
      <w:r>
        <w:rPr/>
        <w:t xml:space="preserve">D</w:t>
      </w:r>
      <w:r>
        <w:rPr/>
        <w:t xml:space="preserve">0%25</w:t>
      </w:r>
      <w:r>
        <w:rPr/>
        <w:t xml:space="preserve">BF</w:t>
      </w:r>
      <w:r>
        <w:rPr/>
        <w:t xml:space="preserve">%25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2%25</w:t>
      </w:r>
      <w:r>
        <w:rPr/>
        <w:t xml:space="preserve">D</w:t>
      </w:r>
      <w:r>
        <w:rPr/>
        <w:t xml:space="preserve">0%25</w:t>
      </w:r>
      <w:r>
        <w:rPr/>
        <w:t xml:space="preserve">BE</w:t>
      </w:r>
      <w:r>
        <w:rPr/>
        <w:t xml:space="preserve">?5&amp;</w:t>
      </w:r>
      <w:r>
        <w:rPr/>
        <w:t xml:space="preserve">type</w:t>
      </w:r>
      <w:r>
        <w:rPr/>
        <w:t xml:space="preserve">=</w:t>
      </w:r>
      <w:r>
        <w:rPr/>
        <w:t xml:space="preserve">f</w:t>
      </w:r>
      <w:r>
        <w:rPr/>
        <w:t xml:space="preserve">_</w:t>
      </w:r>
      <w:r>
        <w:rPr/>
        <w:t xml:space="preserve">search</w:t>
      </w:r>
      <w:r>
        <w:rPr/>
        <w:t xml:space="preserve">&amp;</w:t>
      </w:r>
      <w:r>
        <w:rPr/>
        <w:t xml:space="preserve">text</w:t>
      </w:r>
      <w:r>
        <w:rPr/>
        <w:t xml:space="preserve">=</w:t>
      </w:r>
      <w:r>
        <w:rPr/>
        <w:t xml:space="preserve">false</w:t>
      </w:r>
    </w:p>
    <w:p>
      <w:pPr>
        <w:numPr>
          <w:ilvl w:val="0"/>
          <w:numId w:val="6"/>
        </w:numPr>
      </w:pPr>
      <w:r>
        <w:rPr/>
        <w:t xml:space="preserve">Белов В.А. Гражданское право. Т.4. Особенная часть. Относительные гражданско-правовые формы. Учебник для бакалавриата и магистра-туры М.:Издательство Юрайт, 2014 [режим доступа] </w:t>
      </w:r>
      <w:r>
        <w:rPr/>
        <w:t xml:space="preserve">http</w:t>
      </w:r>
      <w:r>
        <w:rPr/>
        <w:t xml:space="preserve">://</w:t>
      </w:r>
      <w:r>
        <w:rPr/>
        <w:t xml:space="preserve">biblio</w:t>
      </w:r>
      <w:r>
        <w:rPr/>
        <w:t xml:space="preserve">-</w:t>
      </w:r>
      <w:r>
        <w:rPr/>
        <w:t xml:space="preserve">online</w:t>
      </w:r>
      <w:r>
        <w:rPr/>
        <w:t xml:space="preserve">.</w:t>
      </w:r>
      <w:r>
        <w:rPr/>
        <w:t xml:space="preserve">ru</w:t>
      </w:r>
      <w:r>
        <w:rPr/>
        <w:t xml:space="preserve">/</w:t>
      </w:r>
      <w:r>
        <w:rPr/>
        <w:t xml:space="preserve">home</w:t>
      </w:r>
      <w:r>
        <w:rPr/>
        <w:t xml:space="preserve">/%25</w:t>
      </w:r>
      <w:r>
        <w:rPr/>
        <w:t xml:space="preserve">D</w:t>
      </w:r>
      <w:r>
        <w:rPr/>
        <w:t xml:space="preserve">0%25</w:t>
      </w:r>
      <w:r>
        <w:rPr/>
        <w:t xml:space="preserve">B</w:t>
      </w:r>
      <w:r>
        <w:rPr/>
        <w:t xml:space="preserve">3%25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6%25</w:t>
      </w:r>
      <w:r>
        <w:rPr/>
        <w:t xml:space="preserve">D</w:t>
      </w:r>
      <w:r>
        <w:rPr/>
        <w:t xml:space="preserve">0%25</w:t>
      </w:r>
      <w:r>
        <w:rPr/>
        <w:t xml:space="preserve">B</w:t>
      </w:r>
      <w:r>
        <w:rPr/>
        <w:t xml:space="preserve">4%25</w:t>
      </w:r>
      <w:r>
        <w:rPr/>
        <w:t xml:space="preserve">D</w:t>
      </w:r>
      <w:r>
        <w:rPr/>
        <w:t xml:space="preserve">0%25</w:t>
      </w:r>
      <w:r>
        <w:rPr/>
        <w:t xml:space="preserve">B</w:t>
      </w:r>
      <w:r>
        <w:rPr/>
        <w:t xml:space="preserve">0%25</w:t>
      </w:r>
      <w:r>
        <w:rPr/>
        <w:t xml:space="preserve">D</w:t>
      </w:r>
      <w:r>
        <w:rPr/>
        <w:t xml:space="preserve">0%25</w:t>
      </w:r>
      <w:r>
        <w:rPr/>
        <w:t xml:space="preserve">BD</w:t>
      </w:r>
      <w:r>
        <w:rPr/>
        <w:t xml:space="preserve">%25</w:t>
      </w:r>
      <w:r>
        <w:rPr/>
        <w:t xml:space="preserve">D</w:t>
      </w:r>
      <w:r>
        <w:rPr/>
        <w:t xml:space="preserve">1%2581%25</w:t>
      </w:r>
      <w:r>
        <w:rPr/>
        <w:t xml:space="preserve">D</w:t>
      </w:r>
      <w:r>
        <w:rPr/>
        <w:t xml:space="preserve">0%25</w:t>
      </w:r>
      <w:r>
        <w:rPr/>
        <w:t xml:space="preserve">BA</w:t>
      </w:r>
      <w:r>
        <w:rPr/>
        <w:t xml:space="preserve">%25</w:t>
      </w:r>
      <w:r>
        <w:rPr/>
        <w:t xml:space="preserve">D</w:t>
      </w:r>
      <w:r>
        <w:rPr/>
        <w:t xml:space="preserve">0%25</w:t>
      </w:r>
      <w:r>
        <w:rPr/>
        <w:t xml:space="preserve">BE</w:t>
      </w:r>
      <w:r>
        <w:rPr/>
        <w:t xml:space="preserve">%25</w:t>
      </w:r>
      <w:r>
        <w:rPr/>
        <w:t xml:space="preserve">D</w:t>
      </w:r>
      <w:r>
        <w:rPr/>
        <w:t xml:space="preserve">0%25</w:t>
      </w:r>
      <w:r>
        <w:rPr/>
        <w:t xml:space="preserve">B</w:t>
      </w:r>
      <w:r>
        <w:rPr/>
        <w:t xml:space="preserve">5+%25</w:t>
      </w:r>
      <w:r>
        <w:rPr/>
        <w:t xml:space="preserve">D</w:t>
      </w:r>
      <w:r>
        <w:rPr/>
        <w:t xml:space="preserve">0%25</w:t>
      </w:r>
      <w:r>
        <w:rPr/>
        <w:t xml:space="preserve">BF</w:t>
      </w:r>
      <w:r>
        <w:rPr/>
        <w:t xml:space="preserve">%25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2%25</w:t>
      </w:r>
      <w:r>
        <w:rPr/>
        <w:t xml:space="preserve">D</w:t>
      </w:r>
      <w:r>
        <w:rPr/>
        <w:t xml:space="preserve">0%25</w:t>
      </w:r>
      <w:r>
        <w:rPr/>
        <w:t xml:space="preserve">BE</w:t>
      </w:r>
      <w:r>
        <w:rPr/>
        <w:t xml:space="preserve">?2&amp;</w:t>
      </w:r>
      <w:r>
        <w:rPr/>
        <w:t xml:space="preserve">type</w:t>
      </w:r>
      <w:r>
        <w:rPr/>
        <w:t xml:space="preserve">=</w:t>
      </w:r>
      <w:r>
        <w:rPr/>
        <w:t xml:space="preserve">f</w:t>
      </w:r>
      <w:r>
        <w:rPr/>
        <w:t xml:space="preserve">_</w:t>
      </w:r>
      <w:r>
        <w:rPr/>
        <w:t xml:space="preserve">search</w:t>
      </w:r>
      <w:r>
        <w:rPr/>
        <w:t xml:space="preserve">&amp;</w:t>
      </w:r>
      <w:r>
        <w:rPr/>
        <w:t xml:space="preserve">text</w:t>
      </w:r>
      <w:r>
        <w:rPr/>
        <w:t xml:space="preserve">=</w:t>
      </w:r>
      <w:r>
        <w:rPr/>
        <w:t xml:space="preserve">false</w:t>
      </w:r>
    </w:p>
    <w:p>
      <w:pPr>
        <w:numPr>
          <w:ilvl w:val="0"/>
          <w:numId w:val="6"/>
        </w:numPr>
      </w:pPr>
      <w:r>
        <w:rPr/>
        <w:t xml:space="preserve">Гражданский кодекс Российской Федерации. Части первая, вторая, третья и четвертая: текст с изм. и доп. </w:t>
      </w:r>
      <w:r>
        <w:rPr/>
        <w:t xml:space="preserve">На 1 сентября 2018. М.: Эксмо, 2013.</w:t>
      </w:r>
    </w:p>
    <w:p>
      <w:pPr>
        <w:numPr>
          <w:ilvl w:val="0"/>
          <w:numId w:val="6"/>
        </w:numPr>
      </w:pPr>
      <w:r>
        <w:rPr/>
        <w:t xml:space="preserve">Гражданское право: учебник для студ. вузов: в 3 т. / под ред. А.П. Сергеева, Ю.К. Толстого. – М.: Проспект, 2013</w:t>
      </w:r>
    </w:p>
    <w:p>
      <w:pPr>
        <w:numPr>
          <w:ilvl w:val="0"/>
          <w:numId w:val="6"/>
        </w:numPr>
      </w:pPr>
      <w:r>
        <w:rPr/>
        <w:t xml:space="preserve">Гражданское право: [учебник] / ответственный редактор В. П. Мозолин, Т. 1 / [Агафонова Н. Н. [и др.]. - Изд. 2-е, перераб. и доп. - Москва : Проспект, 2016. - 815 с..</w:t>
      </w:r>
    </w:p>
    <w:p>
      <w:pPr>
        <w:numPr>
          <w:ilvl w:val="0"/>
          <w:numId w:val="6"/>
        </w:numPr>
      </w:pPr>
      <w:r>
        <w:rPr/>
        <w:t xml:space="preserve">Гражданское право : учебник / под ред. А. П. Сергеева, Т. 3 / [Е. Н. Абрамова [и др.]. - Москва : Велби, 2014. - 800 с.</w:t>
      </w:r>
    </w:p>
    <w:p>
      <w:pPr>
        <w:numPr>
          <w:ilvl w:val="0"/>
          <w:numId w:val="6"/>
        </w:numPr>
      </w:pPr>
      <w:r>
        <w:rPr/>
        <w:t xml:space="preserve">Ивакин, В. Н. Гражданское право : особенная часть : краткий курс лекций / В. Н. Ивакин. - 6-е изд., испр. и доп. - Москва : Юрайт, 2014. - 229 с.</w:t>
      </w:r>
    </w:p>
    <w:p>
      <w:pPr>
        <w:jc w:val="both"/>
        <w:ind w:left="0" w:right="0" w:firstLine="570" w:hanging="0"/>
        <w:spacing w:before="240" w:after="240"/>
      </w:pPr>
      <w:r>
        <w:rPr>
          <w:b w:val="1"/>
          <w:bCs w:val="1"/>
        </w:rPr>
        <w:t xml:space="preserve">8.2. Дополнительная литература:</w:t>
      </w:r>
    </w:p>
    <w:p>
      <w:pPr/>
      <w:r>
        <w:rPr/>
        <w:t xml:space="preserve">1.Белов, В. А. (доктор юридических наук, профессор). "Договоры об обязательствах": опционный и абонентский договоры, их понятие и место в системе смежных договоров / В. А. Белов, К. В. Дудченко [Текст] // Законодательство. - 2016. - № 3.</w:t>
      </w:r>
    </w:p>
    <w:p>
      <w:pPr/>
      <w:r>
        <w:rPr/>
        <w:t xml:space="preserve">2.Богданов, Е. В. Договоры купли-продажи и поставки: проблемы правоприменения и дифференциации / Е. В. Богданов [Текст] // Законодательство и экономика. - 2017. - № 1.</w:t>
      </w:r>
    </w:p>
    <w:p>
      <w:pPr/>
      <w:r>
        <w:rPr/>
        <w:t xml:space="preserve">3.Гатауллина, А. Гражданско-правовые договоры с работниками : трудовой или не трудовой - вот в чем вопрос / А. Гатауллина [Текст] // Трудовое право. - 2019. - № 7. - С. 81-90</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46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FB19C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66C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8E9B0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FB3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14C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C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2026-04-23T21:01:27+03:00</dcterms:created>
  <dcterms:modified xsi:type="dcterms:W3CDTF">2026-04-23T21:01:27+03:00</dcterms:modified>
</cp:coreProperties>
</file>

<file path=docProps/custom.xml><?xml version="1.0" encoding="utf-8"?>
<Properties xmlns="http://schemas.openxmlformats.org/officeDocument/2006/custom-properties" xmlns:vt="http://schemas.openxmlformats.org/officeDocument/2006/docPropsVTypes"/>
</file>