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КИТАЙ В МИРОВОЙ ПОЛИТИКЕ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41.03.05 Международные отношения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«Международные отношения с китайским как вторым иностранным»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15.06.2017 № 555 (с изменениями от 27.02.2023 г. №208, от 19.07.2022 №662, от 08.02.2021 №83, от 26.11.2020 №1456) и учебным планом по направлению подготовки бакалавриата 41.03.05 Международные отношения  (профиль «Международные отношения с китайским как вторым иностранным»).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Пименова Мария Андреевна, старший преподаватель, кафедра политических и социальных наук; куратор, Дискуссионный клуб на английском языке "Debaters Today, Leaders Tomorrow"; куратор, Дипломатический клуб.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логику глобальных процессов, основные тенденции развития интеграционных процессов современности, ориентироваться в механизмах многосторонней дипломатии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Выполнение и защита выпускной квалификационной работы (И), Интеграционные процессы в АТР (И), Преддипломная практика (И), Политическая география (Н), Китай в мировой политике (О), Международные интеграционные процессы и международные организации (О), Подготовка к сдаче и сдача государственного экзамена (И), Связи с общественностью (О), Экономические и политические процессы на евразийском пространстве (И), Введение в профессиональную деятельность (Н),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теории интеграции; основные характеристики интеграционных образований; основы дипломатического и делового протокола</w:t>
            </w:r>
          </w:p>
          <w:p/>
          <w:p>
            <w:pPr/>
            <w:r>
              <w:rPr/>
              <w:t xml:space="preserve">ПК-2.2. Умеет составлять дипломатические документы; определять основных участников многосторонней дипломатии ; анализировать современные интеграционные процессы, оценивать их перспективность</w:t>
            </w:r>
          </w:p>
          <w:p/>
          <w:p>
            <w:pPr/>
            <w:r>
              <w:rPr/>
              <w:t xml:space="preserve">ПК-2.3. Владеет навыками применения основ дипломатического протокола на практике; навыками подготовки дипломатической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Китай в мировой политике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Теория международных отношений, История и культура Китая, Современные международные отношения (конец XX - начало XXI вв).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Китай в системе международных отношений сер. XVII - нач.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Китай в Мировых войнах. Внешняя политика Китая в межвоенный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Внешнеполитический курс Китая (1949-1976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Внешнеполитический курс Китая (1980-1990-е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Современный Китай в мировой политике.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Россия и КНР в современной системе международных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Вводная лекция: терминологический аппарат. Отличие китайского подхода к истории международных отношений. Основные вехи в истории Китая.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Китай и европейские страны в XVII-XX вв. &amp;amp;amp;amp;quot;Опиумные войны&amp;amp;amp;amp;quot;.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Складывание колониальной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Китай в годы Первой мировой войны. Зарождение коммунистического движения в Китае.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Японская оккупация и Вторая Мировая война.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Внешнеполитический курс Китая (1949-1976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внешнеполитического курса Китай в 1980-1990-е.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Истоки и источники современного внешнеполитического курса Китая.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Китая в АТР. Проблемы региональной безопасности. Китай и ООН.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Китай в мировой экономике. Экономическая интеграция.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 &amp;amp;amp;quot;Один пояс - один путь&amp;amp;amp;quot;: истоки, перспективы и вызовы.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американо-китайских отношений на современном этапе.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и КНР в современной системе международных отношений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Эволюция китайской политический мысли: от Древнего мира до Империи Цин.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круглого стола на тему &amp;quot;Китай во внешней политике европейских стран в XVIII в.&amp;quot;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контрольной работы по вопросам раздела.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на тему &amp;quot;Национально -освободительная война китайского народа против агрессии Японии&amp;quot;. Самостоятельный анализ научной литературы и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(с презентацией) по одной из следующих тем. Внешнеполитический курс Китая (1949-1976 гг.). КНР и США. Советско-китайскй раскол. Политика Китая на приграничных территориях. Китай и Европа: новый курс. Холодная война и ее влияние на внешнеполитическую концепцию КНР. Теория «трёх миров» Мао Цзэдуна.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докладов (с презентацией) по теме внешнеполитического курса Китая в период 1980-1990-е гг. Самостоятельное изучение источников и научной литературы.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деловой игры &amp;quot;Распад СССР как внешнее потрясение: кейс Китая&amp;quot;.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Истоки китайской внешнеполитической парадигмы: анализ источников к курсу. Современная внешнеполитическая доктрина Китая.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круглого стола на тему &amp;quot;Китайский и тибетский вопрос в политической доктрине Китая&amp;quot;.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по вопросам современной региональной безопасности: разбор кейсов.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по темам. История политического сотрудничества. Правовая база взаимоотношений. Национальные интересы как фактор сближения РФ и КНР на современном этапе. Участие России и Китая в международных организациях.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кризисной симуляции &amp;quot;Модель СБ ООН: Тайваньский кризис&amp;quot;.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источниками: понятие &amp;amp;amp;amp;quot;Восток&amp;amp;amp;amp;quot; и &amp;amp;amp;amp;quot;Запад&amp;amp;amp;amp;quot; в истории стран Азии и Африки. Критика европоцентричного подхода.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источников и научной литературы по теме. Подготовка источниковедческого эссе.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аналитической записки на тему &amp;quot;Китайский вопрос в Лиге Наций&amp;quot;.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теме &amp;quot;Китайский переход к политике &amp;quot;реформ и внешней открытости&amp;quot;: причины и последствия&amp;quot;.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развернутого эссе с ответом на вопрос &amp;quot;Как современный Китай &amp;quot;видит&amp;quot; свою роль в международных отношениях&amp;quot;?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отдельных параграфов работы Г. Киссинджера &amp;amp;quot;О Китае&amp;amp;quot; (2011) для дискуссии о китайском векторе во внешней политике США.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кризисной симуляции &amp;quot;Модель СБ ООН&amp;quot;. Изучение формата на примере других вузов РФ. Анализ проведения заседаний Совета Безопасности. Россия и Китай в СБ: особенности дипломатического поведения. Кризис площадок ООН в решении конфликтов.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Теоретические занятия</w:t>
      </w:r>
      <w:r>
        <w:rPr/>
        <w:t xml:space="preserve"> </w:t>
      </w:r>
      <w:r>
        <w:rPr>
          <w:b w:val="1"/>
          <w:bCs w:val="1"/>
        </w:rPr>
        <w:t xml:space="preserve">(лекции)</w:t>
      </w:r>
      <w:r>
        <w:rPr/>
        <w:t xml:space="preserve"> На лекциях излагаются ключевые темы курса, предусмотренные учебно-тематическим планом, акцентируется внимание на наиболее принципиальных и сложных вопросах курса, устанавливаются вопросы для самостоятельной проработки. Полный и творческий конспект лекций является базой при подготовке к практическим занятиям, к экзамену, а также самостоятельной научной деятельности. В ходе лекционных занятий студенты имеют возможность задавать уточняющие или проблемные вопросы для более полного понимания темы занятия.</w:t>
      </w:r>
    </w:p>
    <w:p>
      <w:pPr/>
      <w:r>
        <w:rPr>
          <w:b w:val="1"/>
          <w:bCs w:val="1"/>
        </w:rPr>
        <w:t xml:space="preserve">Практические (семинарские) занятия</w:t>
      </w:r>
      <w:r>
        <w:rPr/>
        <w:t xml:space="preserve"> предполагают предварительную подготовку учащихся по заранее заявленным темам.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студентов. В организации каждого из семинарских занятий предполагается использование как традиционных, так и интерактивных методик. Для данного направления подготовки используются такие интерактивные формы проведения как работа в малых группах, круглый стол, дискуссия, дебаты.</w:t>
      </w:r>
    </w:p>
    <w:p>
      <w:pPr/>
      <w:r>
        <w:rPr>
          <w:b w:val="1"/>
          <w:bCs w:val="1"/>
        </w:rPr>
        <w:t xml:space="preserve">Самостоятельная работа</w:t>
      </w:r>
      <w:r>
        <w:rPr/>
        <w:t xml:space="preserve"> студента в основном предполагает индивидуальное изучение научной литературы и источников по теме, а также подготовку к деловой игре. Написание эссе и аналитических записок также входит в перечень самостоятельной работы обучающегося.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контрольная работа; доклад, сообщение;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Качество эссе оценивается по пятибалльной шкале. Для получения положительной оценки необходимо соблюдение следующих критериев:</w:t>
      </w:r>
    </w:p>
    <w:p>
      <w:pPr>
        <w:numPr>
          <w:ilvl w:val="0"/>
          <w:numId w:val="1"/>
        </w:numPr>
      </w:pPr>
      <w:r>
        <w:rPr/>
        <w:t xml:space="preserve">Соответствие содержания эссе заявленной теме. </w:t>
      </w:r>
    </w:p>
    <w:p>
      <w:pPr>
        <w:numPr>
          <w:ilvl w:val="0"/>
          <w:numId w:val="1"/>
        </w:numPr>
      </w:pPr>
      <w:r>
        <w:rPr/>
        <w:t xml:space="preserve">Полнота раскрытия темы. </w:t>
      </w:r>
    </w:p>
    <w:p>
      <w:pPr>
        <w:numPr>
          <w:ilvl w:val="0"/>
          <w:numId w:val="1"/>
        </w:numPr>
      </w:pPr>
      <w:r>
        <w:rPr/>
        <w:t xml:space="preserve">Наличие в работе позиции ее автора. </w:t>
      </w:r>
    </w:p>
    <w:p>
      <w:pPr>
        <w:numPr>
          <w:ilvl w:val="0"/>
          <w:numId w:val="1"/>
        </w:numPr>
      </w:pPr>
      <w:r>
        <w:rPr/>
        <w:t xml:space="preserve">Аргументированность выдвинутого тезиса работы. </w:t>
      </w:r>
    </w:p>
    <w:p>
      <w:pPr>
        <w:numPr>
          <w:ilvl w:val="0"/>
          <w:numId w:val="1"/>
        </w:numPr>
      </w:pPr>
      <w:r>
        <w:rPr/>
        <w:t xml:space="preserve">Четкость и логичность изложения. </w:t>
      </w:r>
    </w:p>
    <w:p>
      <w:pPr>
        <w:numPr>
          <w:ilvl w:val="0"/>
          <w:numId w:val="1"/>
        </w:numPr>
      </w:pPr>
      <w:r>
        <w:rPr/>
        <w:t xml:space="preserve">Эрудированность и информированность.</w:t>
      </w:r>
    </w:p>
    <w:p>
      <w:pPr>
        <w:numPr>
          <w:ilvl w:val="0"/>
          <w:numId w:val="1"/>
        </w:numPr>
      </w:pPr>
      <w:r>
        <w:rPr/>
        <w:t xml:space="preserve">Обоснованность выводов. </w:t>
      </w:r>
    </w:p>
    <w:p>
      <w:pPr>
        <w:numPr>
          <w:ilvl w:val="0"/>
          <w:numId w:val="1"/>
        </w:numPr>
      </w:pPr>
      <w:r>
        <w:rPr/>
        <w:t xml:space="preserve">Грамотное оформление ссылок и сносок по ГОСТу.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состоит из 10 заданий, которые оцениваются на основе балльной системы (1 балл за каждое выполненное задание). Максимальное количество баллов – 10</w:t>
      </w:r>
    </w:p>
    <w:p>
      <w:pPr/>
      <w:r>
        <w:rPr/>
        <w:t xml:space="preserve">9-10 баллов – «отлично»</w:t>
      </w:r>
    </w:p>
    <w:p>
      <w:pPr/>
      <w:r>
        <w:rPr/>
        <w:t xml:space="preserve">7-8 баллов – «хорошо»</w:t>
      </w:r>
    </w:p>
    <w:p>
      <w:pPr/>
      <w:r>
        <w:rPr/>
        <w:t xml:space="preserve">5–6 баллов – «удовлетворительно»</w:t>
      </w:r>
    </w:p>
    <w:p>
      <w:pPr/>
      <w:r>
        <w:rPr/>
        <w:t xml:space="preserve">0–5 баллов – «неудовлетворительно» </w:t>
      </w:r>
    </w:p>
    <w:p>
      <w:pPr/>
      <w:r>
        <w:rPr/>
        <w:t xml:space="preserve">Успешное выполнение контрольной работы (не ниже 7 баллов) является обязательным условием для допуска к зачету.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Деловая и/или ролевая игра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Теоретическое обучение студентов по дисциплине строится на лекциях, которые предоставляют систематизированные знания о ключевых и сложных вопросах темы. В ходе лекций акцентируется внимание не только на усвоении материала, но и на стимуляции познавательной активности, творческого мышления и формировании научного мировоззрения и профессиональных качеств.</w:t>
      </w:r>
    </w:p>
    <w:p>
      <w:pPr/>
      <w:r>
        <w:rPr/>
        <w:t xml:space="preserve">Лекции проводятся с использованием презентаций и имеют структурированный формат, соответствующий плану, установленному в РПД. Студенты должны внимательно вести записи, и в конце лекции у них есть возможность задать вопросы лектору для уточнения информации.</w:t>
      </w:r>
    </w:p>
    <w:p>
      <w:pPr/>
      <w:r>
        <w:rPr/>
        <w:t xml:space="preserve">При подготовке к семинарам студентам рекомендуется сначала ознакомиться с лекциями и основной литературой, а затем выполнять задания и подготовку к вопросам, при необходимости используя дополнительную литературу. </w:t>
      </w:r>
    </w:p>
    <w:p>
      <w:pPr/>
      <w:r>
        <w:rPr/>
        <w:t xml:space="preserve">Студенты должны быть готовы к контрольным вопросам на каждом занятии. Значительная часть материала осваивается самостоятельно, и работа с рекомендованной литературой имеет особое значение. Для проверки знаний студенты выполняют контрольные вопросы и задания, предложенные преподавателем, что является обязательным условием успешного освоения курса. Преподаватель уточняет виды заданий, сроки их сдачи и критерии оценки в каждом конкретном случае.</w:t>
      </w:r>
    </w:p>
    <w:p>
      <w:pPr/>
      <w:r>
        <w:rPr/>
        <w:t xml:space="preserve">Успешное освоение материала лекций, обсуждаемых на практических занятиях, а также выполнение контрольных заданий и освоение рекомендованной литературы позволит студенту пройти промежуточную аттестацию, для которой необходимо актуализировать все полученные знания в ходе курса.</w:t>
      </w:r>
    </w:p>
    <w:p>
      <w:pPr>
        <w:pStyle w:val="Heading3"/>
      </w:pPr>
      <w:r>
        <w:rPr/>
        <w:t xml:space="preserve">Для успешного изучения дисциплины "Китай в мировой политике", в ходе работы с каждым историческим периодом, необходимо ознакомление с соответствующим историческим контекстом. Для этого следует акцентировать внимание на событиях, которые повлияли на курс его внешней политики (например, наследие Имперского периода, реформа Дэн Сяопина, революция 1911 г., и др.). Также успешному освоению дисциплины сопутствует обязательное чтение исторических источников - трудом китайских историков, западных и отечественных аналитиков, что позволяет получить наиболее объективный и критический взгляд на предмет изучения.</w:t>
      </w:r>
    </w:p>
    <w:p>
      <w:pPr>
        <w:pStyle w:val="Heading3"/>
      </w:pPr>
      <w:r>
        <w:rPr/>
        <w:t xml:space="preserve">Помимо этого, рекомендуется регулярно следить за актуальными новостями, связанными с деятельностью Китая в мировой политике. Обучающим необходимо использовать </w:t>
      </w:r>
      <w:r>
        <w:rPr>
          <w:sz w:val="21"/>
          <w:szCs w:val="21"/>
        </w:rPr>
        <w:t xml:space="preserve">надежные источники информации для отслеживания актуальных событий в китайской политике и международных отношениях. По возможности желательно следить за китаеязычными источниками, критически осмысливать информацию, выделять разные точки зрения.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силу того, что данный курс преподается впервые, преподавателю рекомендуется при построении лекционного и семинарского материала ориентироваться на опыт других вузов России, успешно внедривших данную дисциплину в образовательную среду. Среди них:</w:t>
      </w:r>
    </w:p>
    <w:p>
      <w:pPr>
        <w:numPr>
          <w:ilvl w:val="0"/>
          <w:numId w:val="2"/>
        </w:numPr>
      </w:pPr>
      <w:r>
        <w:rPr/>
        <w:t xml:space="preserve">Алтайский государственный университет;</w:t>
      </w:r>
    </w:p>
    <w:p>
      <w:pPr>
        <w:numPr>
          <w:ilvl w:val="0"/>
          <w:numId w:val="2"/>
        </w:numPr>
      </w:pPr>
      <w:r>
        <w:rPr/>
        <w:t xml:space="preserve">Нижегородский государственный лингвистический университет имени Н.А. Добролюбова;</w:t>
      </w:r>
    </w:p>
    <w:p>
      <w:pPr>
        <w:numPr>
          <w:ilvl w:val="0"/>
          <w:numId w:val="2"/>
        </w:numPr>
      </w:pPr>
      <w:r>
        <w:rPr/>
        <w:t xml:space="preserve">Московский государственный университет;</w:t>
      </w:r>
    </w:p>
    <w:p>
      <w:pPr>
        <w:numPr>
          <w:ilvl w:val="0"/>
          <w:numId w:val="2"/>
        </w:numPr>
      </w:pPr>
      <w:r>
        <w:rPr/>
        <w:t xml:space="preserve">Московский государственный институт международных отношений;</w:t>
      </w:r>
    </w:p>
    <w:p>
      <w:pPr>
        <w:numPr>
          <w:ilvl w:val="0"/>
          <w:numId w:val="2"/>
        </w:numPr>
      </w:pPr>
      <w:r>
        <w:rPr/>
        <w:t xml:space="preserve">Санкт-Петербурский государственный университет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Алепко, А. В. Социально-экономическая география Китая. Москва : Издательство Юрайт, 2020. — 506 с. ISBN 978-5-534- 13997-6. URL: https://urait.ru/bcode/467453</w:t>
      </w:r>
    </w:p>
    <w:p>
      <w:pPr>
        <w:numPr>
          <w:ilvl w:val="0"/>
          <w:numId w:val="3"/>
        </w:numPr>
      </w:pPr>
      <w:r>
        <w:rPr/>
        <w:t xml:space="preserve">Дацышен В. Г. История российско-китайских отношений в конце XIX – начале ХХ вв.: Научные монографии Директ-Медиа, 2014</w:t>
      </w:r>
    </w:p>
    <w:p>
      <w:pPr>
        <w:numPr>
          <w:ilvl w:val="0"/>
          <w:numId w:val="3"/>
        </w:numPr>
      </w:pPr>
      <w:r>
        <w:rPr/>
        <w:t xml:space="preserve">Муратшина К. Г. ; под науч. ред. Михайленко В.И. МЕЖДУНАРОДНЫЕ ОТНОШЕНИЯ. РОССИЙСКО-КИТАЙСКИЕ ОТНОШЕНИЯ В КОНЦЕ XX — НАЧАЛЕ XXI ВЕКОВ 2-е изд. Учебное пособие для бакалавриата и магистратуры: М.: Издательство Юрайт, 2018.</w:t>
      </w:r>
    </w:p>
    <w:p>
      <w:pPr>
        <w:numPr>
          <w:ilvl w:val="0"/>
          <w:numId w:val="3"/>
        </w:numPr>
      </w:pPr>
      <w:r>
        <w:rPr/>
        <w:t xml:space="preserve">Китай в мировой и региональной политике :история и современность : ежегодное издание. Вып. 24 / [С.В. Уянаев и др. ; сост., отв. ред. Е.И. Сафронова] ; Ин. Дальнего Востока РАН. - Москва : ИДВ РАН, 2019. - 416 с. - Авт. указаны в содерж. - Часть текста англ. - ISBN 978-5-8381-0355-0</w:t>
      </w:r>
    </w:p>
    <w:p>
      <w:pPr>
        <w:numPr>
          <w:ilvl w:val="0"/>
          <w:numId w:val="3"/>
        </w:numPr>
      </w:pPr>
      <w:r>
        <w:rPr/>
        <w:t xml:space="preserve">Гордон А.В. Китай в мировой истории и международной поли- тике: Модернизм – Традиционализм – Глобализм: Аналит. обзор / РАН. ИНИОН. Центр науч.-информ. ис- след. глобал. и регионал. пробл. Отд. Азии и Африки. – М., 2017. – 84 с. – (Сер.: Пробл. общественного развития стран Азии и Африки).</w:t>
      </w:r>
    </w:p>
    <w:p>
      <w:pPr/>
      <w:r>
        <w:rPr/>
        <w:t xml:space="preserve">На английском языке:</w:t>
      </w:r>
    </w:p>
    <w:p>
      <w:pPr>
        <w:numPr>
          <w:ilvl w:val="0"/>
          <w:numId w:val="4"/>
        </w:numPr>
      </w:pPr>
      <w:r>
        <w:rPr/>
        <w:t xml:space="preserve">Carlson, A., Binhong, S., 2014. China in the World: A Survey of Chinese Perspectives in International Politics and Economics. Leiden; Boston: Brill.</w:t>
      </w:r>
    </w:p>
    <w:p>
      <w:pPr>
        <w:numPr>
          <w:ilvl w:val="0"/>
          <w:numId w:val="4"/>
        </w:numPr>
      </w:pPr>
      <w:r>
        <w:rPr/>
        <w:t xml:space="preserve">Shambaugh, D., 2013. China Goes Global: The Partial Power. Oxford University Press.</w:t>
      </w:r>
    </w:p>
    <w:p>
      <w:pPr>
        <w:numPr>
          <w:ilvl w:val="0"/>
          <w:numId w:val="4"/>
        </w:numPr>
      </w:pPr>
      <w:r>
        <w:rPr/>
        <w:t xml:space="preserve">Womack, B., 2010. China Among Unequals: Asymmetric Foreign Relationships in Asia. World Scientific</w:t>
      </w:r>
      <w:br/>
      <w:r>
        <w:rPr/>
        <w:t xml:space="preserve">Publishing.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38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F2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7D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899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5E8B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2026-04-25T12:06:58+03:00</dcterms:created>
  <dcterms:modified xsi:type="dcterms:W3CDTF">2026-04-25T12:06:58+03:00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