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 и систем искусственного интеллекта»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и систем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br/>
            <w:br/>
            <w:r>
              <w:rPr>
                <w:b w:val="1"/>
                <w:bCs w:val="1"/>
              </w:rPr>
              <w:t xml:space="preserve">Комментарий:</w:t>
            </w:r>
            <w:br/>
            <w:r>
              <w:rPr/>
              <w:t xml:space="preserve">Данная дисциплина участвует в формировании  компетенции ПК-4 наряду с дисциплинами: Базы данных (НО), Проектирование информационных систем (О), Управление информацией и хранением данных (О), Выполнение и защита выпускной квалификационной работы (И),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42, 4, 52,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28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28</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86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78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зачету 5 семестр</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248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(зачет): изучить теоретический материал по темам для вопросов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45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8CDBB4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2E719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AE69D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3FB57"/>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CEF87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3FE96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AD6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B80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AD4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0A2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F20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A04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050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0D7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02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2026-04-21T02:09:58+03:00</dcterms:created>
  <dcterms:modified xsi:type="dcterms:W3CDTF">2026-04-21T02:09:58+03:00</dcterms:modified>
</cp:coreProperties>
</file>

<file path=docProps/custom.xml><?xml version="1.0" encoding="utf-8"?>
<Properties xmlns="http://schemas.openxmlformats.org/officeDocument/2006/custom-properties" xmlns:vt="http://schemas.openxmlformats.org/officeDocument/2006/docPropsVTypes"/>
</file>