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финансов, финансового права, экономики и бухгалтерского учета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НАЛОГОВЫЙ УЧЕТ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Казакова Евгения Александровна, старший преподаватель, кафедра финансов, финансового права, экономики и бухгалтерского учета.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финансов, финансового права, экономики и бухгалтерского учета.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Е.И. Костина,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составлять и контролировать составление бухгалтерской (финансовой) отчетности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Учет в банках (И), Бухгалтерский учет в государственных и муниципальных учреждениях на базе 1С (О), Контроль и ревизия (О), Информационные бухгалтерские системы и технологии анализа (О), Налоговый учет (О), Производственная практика (О), Налоги и налогообложение (О), Бухгалтерский учет (НО), Международные стандарты финансовой отчетности (О), Бухгалтерская финансовая отчетность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Способен составлять бухгалтерскую (финансовую) отчетность;</w:t>
            </w:r>
          </w:p>
          <w:p/>
          <w:p>
            <w:pPr/>
            <w:r>
              <w:rPr/>
              <w:t xml:space="preserve">ПК-1.2. Способен осуществлять внутренний контроль ведения бухгалтерского учета и составления бухгалтерской (финансовой) отчетности экономического субъекта;</w:t>
            </w:r>
          </w:p>
          <w:p/>
          <w:p>
            <w:pPr/>
            <w:r>
              <w:rPr/>
              <w:t xml:space="preserve">ПК-1.3. Способен осуществлять налоговый учет и налоговое планирование экономического субъекта.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Налоговый учет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72,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Налоговый учет расходов в целях исчисления налога на прибыль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налогового учета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исчисления и уплаты налога на прибыль организаций.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Налоговый учет доходов в целях исчисления налога на прибыль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Налоговый учет при специальных режимах налогообложения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Налоговый учет   при исчислении налога на добавленную стоимость.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бухгалтерского и налогового учета.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расходов в бухгалтерском учёте.  Классификация расходов в налоговом  учёте. Даты признания расходов при методе начисления. Даты признания расходов при кассовом методе. Внереализационные расходы. Состав прямых и косвенных расходов в налоговом учете.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цели и функции налогового учета. Требования, предъявляемые к налоговому учету. Организация налогового учета. Первичные документы и регистры налогового учета.  Налоговая отчетность.  Налоговая учетная политика.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Налогоплательщики, объект  налогообложения налога на прибыль. Ставки налога на прибыль. Методы признания доходов и расходов. Метод начисления и кассовый метод. Перенос убытков на будущее. Уплата авансовых платежей по налогу на прибыль.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доходов в бухгалтерском учёте. Классификация доходов в налоговом  учёте. Доходы от реализации. Контролируемые сделки и сделки между взаимозависимыми лицами. Способы контроля соответствия цен реализации рыночным ценам. Внереализационные доходы. Налоговые регистры по учету доходов.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Налоговый учет при применении упрощенной системы налогообложения. Налоговый учет при применении единого сельскохозяйственного налога.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Налогоплательщики и элементы НДС. Организация налогового учета по НДС. Счет-фактура как первичный документ налогового учета. Порядок ведения книги покупок и книги продаж. Порядок заполнения налоговой декларации по НДС. Учетная политика в целях исчисления НДС.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ПБУ 18/02 &amp;quot;Учет расчетов по налогу на прибыль&amp;quot;. Понятие и виды разниц между бухгалтерскими и налоговыми доходами и расходами. Алгоритм применения ПБУ 18/02 на числовом примере. Основные этапы расчета налога на прибыль организации.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примеров учетной политики для целей налогообложения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налоговых вычетов и суммы НДС, подлежащей уплате, по отдельным видам деятельности и операциям: 1. Особенности   налогового учета налоговой базы, налоговых вычетов и суммы НДС, подлежащей уплате, налоговыми агентами. 2. Особенности учета операций, облагаемых по ставке 0%. 3. Налоговый учет налога на добавленную стоимость при получении и перечислении авансов 4. НДС при ввозе товаров на таможенную территорию Российской Федерации. 5. Исчисление НДС при выполнении строительно-монтажных работ. 6. Исчисление НДС при уступке права требования. 7. Ограничение в применении   налоговых вычетов по  НДС  по расходам, нормируемым при расчете налога на прибыль. 8. Вычеты входящего НДС при наличии облагаемых и необлагаемых налогом операций. Подготовка к коллоквиуму. Решение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и практические занятия проводятся в традиционной форме. Практические занятия включают разбор конкретных ситуаций, проведение коллоквиумов, решение задач, заполнение деклараций, контрольные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Примерное задание для контрольной работы</w:t>
      </w:r>
    </w:p>
    <w:p>
      <w:pPr/>
      <w:r>
        <w:rPr/>
        <w:t xml:space="preserve">Задание 1.</w:t>
      </w:r>
    </w:p>
    <w:p>
      <w:pPr/>
      <w:r>
        <w:rPr/>
        <w:t xml:space="preserve">Остаток резерва по сомнительным долгам на 01.01.2021 г. в налоговом учете организации составляет 150 тыс. руб. Выручка за  2020 г. 21 100 тыс. руб., выручка за 2021 г. 22 500 тыс. руб.</w:t>
      </w:r>
    </w:p>
    <w:p>
      <w:pPr/>
      <w:r>
        <w:rPr/>
        <w:t xml:space="preserve">На 31.12.2021 г. организация имеет следующую дебиторскую задолженность:</w:t>
      </w:r>
    </w:p>
    <w:p>
      <w:pPr/>
      <w:r>
        <w:rPr/>
        <w:t xml:space="preserve">- 500 тыс. руб. – задолженность организации А, возникшая при продаже товаров 15.06.2021 г. По условиям договора оплата должна была произойти через 10 дней после отгрузки;</w:t>
      </w:r>
    </w:p>
    <w:p>
      <w:pPr/>
      <w:r>
        <w:rPr/>
        <w:t xml:space="preserve">- 600 тыс. руб. - задолженность организации Б, возникшая при выдаче займа 17.06.2021 г. По условиям договора займ выдан на 6 месяцев;</w:t>
      </w:r>
    </w:p>
    <w:p>
      <w:pPr/>
      <w:r>
        <w:rPr/>
        <w:t xml:space="preserve">- 700 тыс. руб. - задолженность организации В, возникшая при продаже товаров 10.09.2021 г. По условиям договора оплата должна была произойти через 10 дней после отгрузки;</w:t>
      </w:r>
    </w:p>
    <w:p>
      <w:pPr/>
      <w:r>
        <w:rPr/>
        <w:t xml:space="preserve">- 800 тыс. руб. - задолженность организации Г, возникшая при продаже товаров 17.11.2021 г. По условиям договора оплата должна была произойти на третий день после отгрузки.</w:t>
      </w:r>
    </w:p>
    <w:p>
      <w:pPr/>
      <w:r>
        <w:rPr/>
        <w:t xml:space="preserve">Определить сумму внереализационных расходов организации, которые она признает в 2021 г. при начислении резерва по сомнительным долгам.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«Налоговый учет» необходимо регулярно готовится к занятиям, выполнять домашние задания. В случае возникновения каких-либо вопросов, обращаться к преподавателю на занятии или в часы консультаций.</w:t>
      </w:r>
    </w:p>
    <w:p>
      <w:pPr/>
      <w:r>
        <w:rPr/>
        <w:t xml:space="preserve">Условием допуска к зачету является наличие полного комплекта решенных задач, положительной оценки за контрольную работу.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практических занятий осуществляется с учетом установленного количества часов.</w:t>
      </w:r>
    </w:p>
    <w:p>
      <w:pPr/>
      <w:r>
        <w:rPr/>
        <w:t xml:space="preserve">Лекции составляют основу теоретического обучения и дают систематизированные основы научных знаний дисциплине, проводятся в интерактивной форме, лекционный материал постоянно обновляется с учетом изменений нормативной базы, общеэкономической ситуации и т.д.</w:t>
      </w:r>
    </w:p>
    <w:p>
      <w:pPr/>
      <w:r>
        <w:rPr/>
        <w:t xml:space="preserve">Практические занятия нацелены на формирование у обучающихся умений и навыков работы с экономической информацией, ведения налогового учета и составления налоговых деклараций. Особое внимание необходимо уделять решению задач.</w:t>
      </w:r>
    </w:p>
    <w:p>
      <w:pPr/>
      <w:r>
        <w:rPr>
          <w:b w:val="1"/>
          <w:bCs w:val="1"/>
        </w:rPr>
        <w:t xml:space="preserve"> </w:t>
      </w:r>
      <w:r>
        <w:rPr/>
        <w:t xml:space="preserve">Допуск к зачету возможен при наличии полного комплекта решенных задач и положительной оценки за контрольную работу. Итоговая оценка выставляется по результатам ответа обучающихся на зачете.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Малис, Н. И.  Налоговый учет и отчетность : учебник и практикум для вузов / Н. И. Малис, Л. П. Грундел, А. С. Зинягина ; под редакцией Н. И. Малис. — 3-е изд., перераб. и доп. — Москва : Издательство Юрайт, 2020. — 407 с. — (Высшее образование). — ISBN 978-5-534-11185-9. — Текст : электронный // ЭБС Юрайт [сайт]. — URL: https://urait.ru/bcode/450509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Налоги и налогообложение : учебник и практикум для академического бакалавриата / Г. Б. Поляк [и др.] ; ответственный редактор Г. Б. Поляк, Е. Е. Смирнова. — 3-е изд., перераб. и доп. — Москва : Издательство Юрайт, 2019. — 385 с. — (Бакалавр. Академический курс). — ISBN 978-5-534-05489-7. — Текст : электронный // ЭБС Юрайт [сайт]. — URL: </w:t>
      </w:r>
      <w:hyperlink r:id="rId7" w:history="1">
        <w:r>
          <w:rPr/>
          <w:t xml:space="preserve">https://biblio-online.ru/bcode/431888</w:t>
        </w:r>
      </w:hyperlink>
    </w:p>
    <w:p>
      <w:pPr>
        <w:numPr>
          <w:ilvl w:val="0"/>
          <w:numId w:val="2"/>
        </w:numPr>
      </w:pPr>
      <w:r>
        <w:rPr/>
        <w:t xml:space="preserve">Пансков, В. Г. Налоги и налогообложение : учебник и практикум для прикладного бакалавриата / В. Г. Пансков. — 6-е изд., перераб. и доп. — Москва : Издательство Юрайт, 2019. — 436 с. — (Высшее образование). — ISBN 978-5-534-06064-5. — Текст : электронный // ЭБС Юрайт [сайт]. — URL: </w:t>
      </w:r>
      <w:hyperlink r:id="rId8" w:history="1">
        <w:r>
          <w:rPr/>
          <w:t xml:space="preserve">https://biblio-online.ru/bcode/431769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При формировании списка необходимо пользоваться сведениями из:</w:t>
      </w:r>
    </w:p>
    <w:p>
      <w:pPr>
        <w:numPr>
          <w:ilvl w:val="0"/>
          <w:numId w:val="3"/>
        </w:numPr>
      </w:pPr>
      <w:hyperlink r:id="rId9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3"/>
        </w:numPr>
      </w:pPr>
      <w:hyperlink r:id="rId10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3"/>
        </w:numPr>
      </w:pPr>
      <w:hyperlink r:id="rId11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3"/>
        </w:numPr>
      </w:pPr>
      <w:hyperlink r:id="rId12" w:history="1">
        <w:r>
          <w:rPr/>
          <w:t xml:space="preserve">Электронной библиотечной системы «Консультант студента. Студенческая электронная библиотека»</w:t>
        </w:r>
      </w:hyperlink>
    </w:p>
    <w:p>
      <w:pPr>
        <w:numPr>
          <w:ilvl w:val="0"/>
          <w:numId w:val="3"/>
        </w:numPr>
      </w:pPr>
      <w:hyperlink r:id="rId13" w:history="1">
        <w:r>
          <w:rPr/>
          <w:t xml:space="preserve">Электронной библиотечной системы «Консультант врача: электронная медицинская библиотека»</w:t>
        </w:r>
      </w:hyperlink>
    </w:p>
    <w:p>
      <w:pPr>
        <w:numPr>
          <w:ilvl w:val="0"/>
          <w:numId w:val="3"/>
        </w:numPr>
      </w:pPr>
      <w:hyperlink r:id="rId14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3"/>
        </w:numPr>
      </w:pPr>
      <w:r>
        <w:rPr/>
        <w:t xml:space="preserve">Информационно-справочной системы «Кодекс» (доступ возможен в сети университета по ссылке</w:t>
      </w:r>
      <w:r>
        <w:rPr/>
        <w:t xml:space="preserve"> </w:t>
      </w:r>
      <w:hyperlink r:id="rId15" w:history="1">
        <w:r>
          <w:rPr/>
          <w:t xml:space="preserve">http://kodeks.karelia.ru/petrsu</w:t>
        </w:r>
      </w:hyperlink>
      <w:r>
        <w:rPr/>
        <w:t xml:space="preserve">)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«Профессиональные базы данных и информационные справочные системы» (кроме ресурсов тестового доступа)</w:t>
      </w:r>
      <w:r>
        <w:rPr/>
        <w:t xml:space="preserve"> </w:t>
      </w:r>
      <w:hyperlink r:id="rId16" w:history="1">
        <w:r>
          <w:rPr/>
          <w:t xml:space="preserve">https://library.petrsu.ru/page/13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63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410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F6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7690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888" TargetMode="External"/><Relationship Id="rId8" Type="http://schemas.openxmlformats.org/officeDocument/2006/relationships/hyperlink" Target="https://biblio-online.ru/bcode/431769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studentlibrary.ru/" TargetMode="External"/><Relationship Id="rId13" Type="http://schemas.openxmlformats.org/officeDocument/2006/relationships/hyperlink" Target="https://www.rosmedlib.ru/" TargetMode="External"/><Relationship Id="rId14" Type="http://schemas.openxmlformats.org/officeDocument/2006/relationships/hyperlink" Target="https://www.urait.ru/" TargetMode="External"/><Relationship Id="rId15" Type="http://schemas.openxmlformats.org/officeDocument/2006/relationships/hyperlink" Target="http://kodeks.karelia.ru/petrsu" TargetMode="External"/><Relationship Id="rId16" Type="http://schemas.openxmlformats.org/officeDocument/2006/relationships/hyperlink" Target="https://library.petrsu.ru/page/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2026-04-21T11:17:01+03:00</dcterms:created>
  <dcterms:modified xsi:type="dcterms:W3CDTF">2026-04-21T11:17:01+03:00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