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Подготовка к сдаче и сдача государственного экзамена (И), Физическая культура и спорт (элективная дисциплина, реализована за рамками объема образовательной программы)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 общая физическая подготовка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 проводятся мастер-классы, фестивали по разным видам спорта.</w:t>
      </w:r>
    </w:p>
    <w:p>
      <w:pPr/>
      <w:r>
        <w:rPr/>
        <w:t xml:space="preserve">Используются материалы видеозаписей по технике выполнения отдельных упражнений. Применяется метод демонстрации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p>
    <w:p>
      <w:pPr/>
      <w:r>
        <w:rPr/>
        <w:t xml:space="preserve">Текущий контроль осуществляется преподавателем дисциплины «Физическая культура и спорт» при проведении занятий в форме тестов.</w:t>
      </w:r>
    </w:p>
    <w:p>
      <w:pPr/>
      <w:r>
        <w:rPr/>
        <w:t xml:space="preserve">Оценочное средство 1: Тест</w:t>
      </w:r>
    </w:p>
    <w:tbl>
      <w:tblGrid>
        <w:gridCol w:w="1365" w:type="dxa"/>
      </w:tblGrid>
      <w:tblPr>
        <w:tblW w:w="9855" w:type="dxa"/>
        <w:tblCellSpacing w:w="0" w:type="dxa"/>
        <w:tblLayout w:type="autofit"/>
      </w:tblPr>
      <w:tr>
        <w:trPr/>
        <w:tc>
          <w:tcPr>
            <w:tcW w:w="1365" w:type="dxa"/>
            <w:vAlign w:val="top"/>
            <w:noWrap/>
          </w:tcPr>
          <w:p>
            <w:pPr>
              <w:jc w:val="center"/>
            </w:pPr>
            <w:r>
              <w:rPr/>
              <w:t xml:space="preserve">Наименование</w:t>
            </w:r>
          </w:p>
        </w:tc>
      </w:tr>
      <w:tr>
        <w:trPr/>
        <w:tc>
          <w:tcPr>
            <w:tcW w:w="1365" w:type="dxa"/>
            <w:vAlign w:val="top"/>
            <w:noWrap/>
          </w:tcPr>
          <w:p>
            <w:pPr/>
            <w:r>
              <w:rPr/>
              <w:t xml:space="preserve">Бег на 60 м (сек.)</w:t>
            </w:r>
          </w:p>
        </w:tc>
      </w:tr>
      <w:tr>
        <w:trPr/>
        <w:tc>
          <w:tcPr>
            <w:tcW w:w="1365" w:type="dxa"/>
            <w:vAlign w:val="top"/>
            <w:noWrap/>
          </w:tcPr>
          <w:p>
            <w:pPr/>
            <w:r>
              <w:rPr/>
              <w:t xml:space="preserve">Бег на 100 м (сек.)</w:t>
            </w:r>
          </w:p>
        </w:tc>
      </w:tr>
      <w:tr>
        <w:trPr/>
        <w:tc>
          <w:tcPr>
            <w:tcW w:w="1365" w:type="dxa"/>
            <w:vAlign w:val="top"/>
            <w:noWrap/>
          </w:tcPr>
          <w:p>
            <w:pPr/>
            <w:r>
              <w:rPr/>
              <w:t xml:space="preserve">Бег на 500 м, девушки (мин., сек.); бег 1000 м, юноши (мин., сек.)</w:t>
            </w:r>
          </w:p>
        </w:tc>
      </w:tr>
      <w:tr>
        <w:trPr/>
        <w:tc>
          <w:tcPr>
            <w:tcW w:w="1365" w:type="dxa"/>
            <w:vAlign w:val="top"/>
            <w:noWrap/>
          </w:tcPr>
          <w:p>
            <w:pPr/>
            <w:r>
              <w:rPr/>
              <w:t xml:space="preserve">Бег на 2000 м, девушки (мин., сек.); бег 3000 м, юноши (мин., сек.)</w:t>
            </w:r>
          </w:p>
        </w:tc>
      </w:tr>
      <w:tr>
        <w:trPr/>
        <w:tc>
          <w:tcPr>
            <w:tcW w:w="1365" w:type="dxa"/>
            <w:vAlign w:val="top"/>
            <w:noWrap/>
          </w:tcPr>
          <w:p>
            <w:pPr/>
            <w:r>
              <w:rPr/>
              <w:t xml:space="preserve">Наклон вперед из положения стоя с прямыми ногами на гимнастической скамье (см)</w:t>
            </w:r>
          </w:p>
        </w:tc>
      </w:tr>
      <w:tr>
        <w:trPr/>
        <w:tc>
          <w:tcPr>
            <w:tcW w:w="1365"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365" w:type="dxa"/>
            <w:vAlign w:val="top"/>
            <w:noWrap/>
          </w:tcPr>
          <w:p>
            <w:pPr/>
            <w:r>
              <w:rPr/>
              <w:t xml:space="preserve">Поднимание туловища из положения лежа на спине (кол-во раз за 1 мин.)</w:t>
            </w:r>
          </w:p>
        </w:tc>
      </w:tr>
      <w:tr>
        <w:trPr/>
        <w:tc>
          <w:tcPr>
            <w:tcW w:w="1365" w:type="dxa"/>
            <w:vAlign w:val="top"/>
            <w:noWrap/>
          </w:tcPr>
          <w:p>
            <w:pPr/>
            <w:r>
              <w:rPr/>
              <w:t xml:space="preserve">Прыжок в длину с места толчком двумя ногами (см)</w:t>
            </w:r>
          </w:p>
        </w:tc>
      </w:tr>
      <w:tr>
        <w:trPr/>
        <w:tc>
          <w:tcPr>
            <w:tcW w:w="1365"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w:t>
      </w:r>
      <w:r>
        <w:rPr>
          <w:b w:val="1"/>
          <w:bCs w:val="1"/>
        </w:rPr>
        <w:t xml:space="preserve">по следующим критериям:</w:t>
      </w:r>
    </w:p>
    <w:p>
      <w:pPr>
        <w:jc w:val="start"/>
      </w:pPr>
    </w:p>
    <w:tbl>
      <w:tblGrid>
        <w:gridCol w:w="9030" w:type="dxa"/>
        <w:gridCol w:w="8010" w:type="dxa"/>
        <w:gridCol w:w="4260" w:type="dxa"/>
        <w:gridCol w:w="4605" w:type="dxa"/>
      </w:tblGrid>
      <w:tblPr>
        <w:tblW w:w="997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00" w:hRule="exact"/>
        </w:trPr>
        <w:tc>
          <w:tcPr>
            <w:tcW w:w="9030" w:type="dxa"/>
            <w:noWrap/>
          </w:tcPr>
          <w:p>
            <w:pPr>
              <w:jc w:val="center"/>
            </w:pPr>
            <w:r>
              <w:rPr/>
              <w:t xml:space="preserve">Виды испытаний (тесты)</w:t>
            </w:r>
          </w:p>
        </w:tc>
        <w:tc>
          <w:tcPr>
            <w:tcW w:w="8010" w:type="dxa"/>
            <w:vAlign w:val="top"/>
            <w:noWrap/>
          </w:tcPr>
          <w:p>
            <w:pPr>
              <w:jc w:val="center"/>
            </w:pPr>
            <w:r>
              <w:rPr/>
              <w:t xml:space="preserve">1 очко</w:t>
            </w:r>
          </w:p>
        </w:tc>
        <w:tc>
          <w:tcPr>
            <w:tcW w:w="4260" w:type="dxa"/>
            <w:vAlign w:val="top"/>
            <w:noWrap/>
          </w:tcPr>
          <w:p>
            <w:pPr>
              <w:jc w:val="center"/>
            </w:pPr>
            <w:r>
              <w:rPr/>
              <w:t xml:space="preserve">2 очка</w:t>
            </w:r>
          </w:p>
        </w:tc>
        <w:tc>
          <w:tcPr>
            <w:tcW w:w="4605" w:type="dxa"/>
            <w:vAlign w:val="top"/>
            <w:noWrap/>
          </w:tcPr>
          <w:p>
            <w:pPr>
              <w:jc w:val="center"/>
            </w:pPr>
            <w:r>
              <w:rPr/>
              <w:t xml:space="preserve">3 очка</w:t>
            </w:r>
          </w:p>
        </w:tc>
      </w:tr>
      <w:tr>
        <w:trPr>
          <w:trHeight w:val="690" w:hRule="exact"/>
        </w:trPr>
        <w:tc>
          <w:tcPr>
            <w:tcW w:w="9030" w:type="dxa"/>
            <w:vAlign w:val="top"/>
            <w:noWrap/>
          </w:tcPr>
          <w:p>
            <w:pPr/>
            <w:r>
              <w:rPr/>
              <w:t xml:space="preserve">Бег на 60 м (сек.)</w:t>
            </w:r>
          </w:p>
        </w:tc>
        <w:tc>
          <w:tcPr>
            <w:tcW w:w="8010" w:type="dxa"/>
            <w:noWrap/>
          </w:tcPr>
          <w:p>
            <w:pPr>
              <w:jc w:val="center"/>
            </w:pPr>
            <w:r>
              <w:rPr/>
              <w:t xml:space="preserve">10,7</w:t>
            </w:r>
          </w:p>
        </w:tc>
        <w:tc>
          <w:tcPr>
            <w:tcW w:w="4260" w:type="dxa"/>
            <w:noWrap/>
          </w:tcPr>
          <w:p>
            <w:pPr>
              <w:jc w:val="center"/>
            </w:pPr>
            <w:r>
              <w:rPr/>
              <w:t xml:space="preserve">9,9</w:t>
            </w:r>
          </w:p>
        </w:tc>
        <w:tc>
          <w:tcPr>
            <w:tcW w:w="4605" w:type="dxa"/>
            <w:noWrap/>
          </w:tcPr>
          <w:p>
            <w:pPr>
              <w:jc w:val="center"/>
            </w:pPr>
            <w:r>
              <w:rPr/>
              <w:t xml:space="preserve">9,2</w:t>
            </w:r>
          </w:p>
        </w:tc>
      </w:tr>
      <w:tr>
        <w:trPr>
          <w:trHeight w:val="690" w:hRule="exact"/>
        </w:trPr>
        <w:tc>
          <w:tcPr>
            <w:tcW w:w="9030" w:type="dxa"/>
            <w:vAlign w:val="top"/>
            <w:noWrap/>
          </w:tcPr>
          <w:p>
            <w:pPr/>
            <w:r>
              <w:rPr/>
              <w:t xml:space="preserve">Бег на 100 м (сек.)</w:t>
            </w:r>
          </w:p>
        </w:tc>
        <w:tc>
          <w:tcPr>
            <w:tcW w:w="8010" w:type="dxa"/>
            <w:noWrap/>
          </w:tcPr>
          <w:p>
            <w:pPr>
              <w:jc w:val="center"/>
            </w:pPr>
            <w:r>
              <w:rPr/>
              <w:t xml:space="preserve">17,9</w:t>
            </w:r>
          </w:p>
        </w:tc>
        <w:tc>
          <w:tcPr>
            <w:tcW w:w="4260" w:type="dxa"/>
            <w:noWrap/>
          </w:tcPr>
          <w:p>
            <w:pPr>
              <w:jc w:val="center"/>
            </w:pPr>
            <w:r>
              <w:rPr/>
              <w:t xml:space="preserve">16,9</w:t>
            </w:r>
          </w:p>
        </w:tc>
        <w:tc>
          <w:tcPr>
            <w:tcW w:w="4605" w:type="dxa"/>
            <w:noWrap/>
          </w:tcPr>
          <w:p>
            <w:pPr>
              <w:jc w:val="center"/>
            </w:pPr>
            <w:r>
              <w:rPr/>
              <w:t xml:space="preserve">15,8</w:t>
            </w:r>
          </w:p>
        </w:tc>
      </w:tr>
      <w:tr>
        <w:trPr>
          <w:trHeight w:val="690" w:hRule="exact"/>
        </w:trPr>
        <w:tc>
          <w:tcPr>
            <w:tcW w:w="9030" w:type="dxa"/>
            <w:vAlign w:val="top"/>
            <w:noWrap/>
          </w:tcPr>
          <w:p>
            <w:pPr/>
            <w:r>
              <w:rPr/>
              <w:t xml:space="preserve">Бег 500 м (мин,сек)</w:t>
            </w:r>
          </w:p>
        </w:tc>
        <w:tc>
          <w:tcPr>
            <w:tcW w:w="8010" w:type="dxa"/>
            <w:noWrap/>
          </w:tcPr>
          <w:p>
            <w:pPr>
              <w:jc w:val="center"/>
            </w:pPr>
            <w:r>
              <w:rPr/>
              <w:t xml:space="preserve">2,25</w:t>
            </w:r>
          </w:p>
        </w:tc>
        <w:tc>
          <w:tcPr>
            <w:tcW w:w="4260" w:type="dxa"/>
            <w:noWrap/>
          </w:tcPr>
          <w:p>
            <w:pPr>
              <w:jc w:val="center"/>
            </w:pPr>
            <w:r>
              <w:rPr/>
              <w:t xml:space="preserve">2,10</w:t>
            </w:r>
          </w:p>
        </w:tc>
        <w:tc>
          <w:tcPr>
            <w:tcW w:w="4605" w:type="dxa"/>
            <w:noWrap/>
          </w:tcPr>
          <w:p>
            <w:pPr>
              <w:jc w:val="center"/>
            </w:pPr>
            <w:r>
              <w:rPr/>
              <w:t xml:space="preserve">1,55</w:t>
            </w:r>
          </w:p>
        </w:tc>
      </w:tr>
      <w:tr>
        <w:trPr>
          <w:trHeight w:val="690" w:hRule="exact"/>
        </w:trPr>
        <w:tc>
          <w:tcPr>
            <w:tcW w:w="9030" w:type="dxa"/>
            <w:vAlign w:val="top"/>
            <w:noWrap/>
          </w:tcPr>
          <w:p>
            <w:pPr/>
            <w:r>
              <w:rPr/>
              <w:t xml:space="preserve">Бег 2000 м (мин, сек)</w:t>
            </w:r>
          </w:p>
        </w:tc>
        <w:tc>
          <w:tcPr>
            <w:tcW w:w="8010" w:type="dxa"/>
            <w:noWrap/>
          </w:tcPr>
          <w:p>
            <w:pPr>
              <w:jc w:val="center"/>
            </w:pPr>
            <w:r>
              <w:rPr/>
              <w:t xml:space="preserve">12,20</w:t>
            </w:r>
          </w:p>
        </w:tc>
        <w:tc>
          <w:tcPr>
            <w:tcW w:w="4260" w:type="dxa"/>
            <w:noWrap/>
          </w:tcPr>
          <w:p>
            <w:pPr>
              <w:jc w:val="center"/>
            </w:pPr>
            <w:r>
              <w:rPr/>
              <w:t xml:space="preserve">11,05</w:t>
            </w:r>
          </w:p>
        </w:tc>
        <w:tc>
          <w:tcPr>
            <w:tcW w:w="4605" w:type="dxa"/>
            <w:noWrap/>
          </w:tcPr>
          <w:p>
            <w:pPr>
              <w:jc w:val="center"/>
            </w:pPr>
            <w:r>
              <w:rPr/>
              <w:t xml:space="preserve">9,40</w:t>
            </w:r>
          </w:p>
        </w:tc>
      </w:tr>
      <w:tr>
        <w:trPr>
          <w:trHeight w:val="1065" w:hRule="exact"/>
        </w:trPr>
        <w:tc>
          <w:tcPr>
            <w:tcW w:w="9030" w:type="dxa"/>
            <w:vAlign w:val="top"/>
            <w:noWrap/>
          </w:tcPr>
          <w:p>
            <w:pPr/>
            <w:r>
              <w:rPr/>
              <w:t xml:space="preserve">Наклон вперед из положения стоя с прямыми ногами на гимнастической скамье (см)</w:t>
            </w:r>
          </w:p>
        </w:tc>
        <w:tc>
          <w:tcPr>
            <w:tcW w:w="8010" w:type="dxa"/>
            <w:noWrap/>
          </w:tcPr>
          <w:p>
            <w:pPr>
              <w:jc w:val="center"/>
            </w:pPr>
            <w:r>
              <w:rPr/>
              <w:t xml:space="preserve">+7</w:t>
            </w:r>
          </w:p>
        </w:tc>
        <w:tc>
          <w:tcPr>
            <w:tcW w:w="4260" w:type="dxa"/>
            <w:noWrap/>
          </w:tcPr>
          <w:p>
            <w:pPr>
              <w:jc w:val="center"/>
            </w:pPr>
            <w:r>
              <w:rPr/>
              <w:t xml:space="preserve">+9</w:t>
            </w:r>
          </w:p>
        </w:tc>
        <w:tc>
          <w:tcPr>
            <w:tcW w:w="4605" w:type="dxa"/>
            <w:noWrap/>
          </w:tcPr>
          <w:p>
            <w:pPr>
              <w:jc w:val="center"/>
            </w:pPr>
            <w:r>
              <w:rPr/>
              <w:t xml:space="preserve">+16</w:t>
            </w:r>
          </w:p>
        </w:tc>
      </w:tr>
      <w:tr>
        <w:trPr>
          <w:trHeight w:val="960" w:hRule="exact"/>
        </w:trPr>
        <w:tc>
          <w:tcPr>
            <w:tcW w:w="9030" w:type="dxa"/>
            <w:vAlign w:val="top"/>
            <w:noWrap/>
          </w:tcPr>
          <w:p>
            <w:pPr/>
            <w:r>
              <w:rPr/>
              <w:t xml:space="preserve">Сгибание и разгибание рук в упоре лежа на полу (кол-во раз)</w:t>
            </w:r>
          </w:p>
        </w:tc>
        <w:tc>
          <w:tcPr>
            <w:tcW w:w="8010" w:type="dxa"/>
            <w:noWrap/>
          </w:tcPr>
          <w:p>
            <w:pPr>
              <w:jc w:val="center"/>
            </w:pPr>
            <w:r>
              <w:rPr/>
              <w:t xml:space="preserve">8</w:t>
            </w:r>
          </w:p>
        </w:tc>
        <w:tc>
          <w:tcPr>
            <w:tcW w:w="4260" w:type="dxa"/>
            <w:noWrap/>
          </w:tcPr>
          <w:p>
            <w:pPr>
              <w:jc w:val="center"/>
            </w:pPr>
            <w:r>
              <w:rPr/>
              <w:t xml:space="preserve">12</w:t>
            </w:r>
          </w:p>
        </w:tc>
        <w:tc>
          <w:tcPr>
            <w:tcW w:w="4605" w:type="dxa"/>
            <w:noWrap/>
          </w:tcPr>
          <w:p>
            <w:pPr>
              <w:jc w:val="center"/>
            </w:pPr>
            <w:r>
              <w:rPr/>
              <w:t xml:space="preserve">17</w:t>
            </w:r>
          </w:p>
        </w:tc>
      </w:tr>
      <w:tr>
        <w:trPr>
          <w:trHeight w:val="960" w:hRule="exact"/>
        </w:trPr>
        <w:tc>
          <w:tcPr>
            <w:tcW w:w="9030" w:type="dxa"/>
            <w:vAlign w:val="top"/>
            <w:noWrap/>
          </w:tcPr>
          <w:p>
            <w:pPr/>
            <w:r>
              <w:rPr/>
              <w:t xml:space="preserve">Поднимание туловища из положения лежа на спине (кол-во раз за 1 мин.)</w:t>
            </w:r>
          </w:p>
        </w:tc>
        <w:tc>
          <w:tcPr>
            <w:tcW w:w="8010" w:type="dxa"/>
            <w:noWrap/>
          </w:tcPr>
          <w:p>
            <w:pPr>
              <w:jc w:val="center"/>
            </w:pPr>
            <w:r>
              <w:rPr/>
              <w:t xml:space="preserve">31</w:t>
            </w:r>
          </w:p>
        </w:tc>
        <w:tc>
          <w:tcPr>
            <w:tcW w:w="4260" w:type="dxa"/>
            <w:noWrap/>
          </w:tcPr>
          <w:p>
            <w:pPr>
              <w:jc w:val="center"/>
            </w:pPr>
            <w:r>
              <w:rPr/>
              <w:t xml:space="preserve">37</w:t>
            </w:r>
          </w:p>
        </w:tc>
        <w:tc>
          <w:tcPr>
            <w:tcW w:w="4605" w:type="dxa"/>
            <w:noWrap/>
          </w:tcPr>
          <w:p>
            <w:pPr>
              <w:jc w:val="center"/>
            </w:pPr>
            <w:r>
              <w:rPr/>
              <w:t xml:space="preserve">45</w:t>
            </w:r>
          </w:p>
        </w:tc>
      </w:tr>
      <w:tr>
        <w:trPr>
          <w:trHeight w:val="960" w:hRule="exact"/>
        </w:trPr>
        <w:tc>
          <w:tcPr>
            <w:tcW w:w="9030" w:type="dxa"/>
            <w:vAlign w:val="top"/>
            <w:noWrap/>
          </w:tcPr>
          <w:p>
            <w:pPr/>
            <w:r>
              <w:rPr/>
              <w:t xml:space="preserve">Прыжок в длину с места толчком двумя ногами (см)</w:t>
            </w:r>
          </w:p>
        </w:tc>
        <w:tc>
          <w:tcPr>
            <w:tcW w:w="8010" w:type="dxa"/>
            <w:noWrap/>
          </w:tcPr>
          <w:p>
            <w:pPr>
              <w:jc w:val="center"/>
            </w:pPr>
            <w:r>
              <w:rPr/>
              <w:t xml:space="preserve">157</w:t>
            </w:r>
          </w:p>
        </w:tc>
        <w:tc>
          <w:tcPr>
            <w:tcW w:w="4260" w:type="dxa"/>
            <w:noWrap/>
          </w:tcPr>
          <w:p>
            <w:pPr>
              <w:jc w:val="center"/>
            </w:pPr>
            <w:r>
              <w:rPr/>
              <w:t xml:space="preserve">173</w:t>
            </w:r>
          </w:p>
        </w:tc>
        <w:tc>
          <w:tcPr>
            <w:tcW w:w="4605" w:type="dxa"/>
            <w:noWrap/>
          </w:tcPr>
          <w:p>
            <w:pPr>
              <w:jc w:val="center"/>
            </w:pPr>
            <w:r>
              <w:rPr/>
              <w:t xml:space="preserve">188</w:t>
            </w:r>
          </w:p>
        </w:tc>
      </w:tr>
      <w:tr>
        <w:trPr>
          <w:trHeight w:val="720" w:hRule="exact"/>
        </w:trPr>
        <w:tc>
          <w:tcPr>
            <w:tcW w:w="9030" w:type="dxa"/>
            <w:vAlign w:val="top"/>
            <w:noWrap/>
          </w:tcPr>
          <w:p>
            <w:pPr/>
            <w:r>
              <w:rPr/>
              <w:t xml:space="preserve">Жим штанги лёжа «народный жим»</w:t>
            </w:r>
          </w:p>
        </w:tc>
        <w:tc>
          <w:tcPr>
            <w:tcW w:w="8010" w:type="dxa"/>
            <w:noWrap/>
          </w:tcPr>
          <w:p>
            <w:pPr>
              <w:jc w:val="center"/>
            </w:pPr>
            <w:r>
              <w:rPr/>
              <w:t xml:space="preserve">4</w:t>
            </w:r>
          </w:p>
        </w:tc>
        <w:tc>
          <w:tcPr>
            <w:tcW w:w="4260" w:type="dxa"/>
            <w:noWrap/>
          </w:tcPr>
          <w:p>
            <w:pPr>
              <w:jc w:val="center"/>
            </w:pPr>
            <w:r>
              <w:rPr/>
              <w:t xml:space="preserve">8</w:t>
            </w:r>
          </w:p>
        </w:tc>
        <w:tc>
          <w:tcPr>
            <w:tcW w:w="4605" w:type="dxa"/>
            <w:noWrap/>
          </w:tcPr>
          <w:p>
            <w:pPr>
              <w:jc w:val="center"/>
            </w:pPr>
            <w:r>
              <w:rPr/>
              <w:t xml:space="preserve">12</w:t>
            </w:r>
          </w:p>
        </w:tc>
      </w:tr>
    </w:tbl>
    <w:p>
      <w:pPr>
        <w:jc w:val="start"/>
      </w:pPr>
    </w:p>
    <w:tbl>
      <w:tblGrid>
        <w:gridCol w:w="11760" w:type="dxa"/>
        <w:gridCol w:w="5115" w:type="dxa"/>
        <w:gridCol w:w="4425" w:type="dxa"/>
        <w:gridCol w:w="4605" w:type="dxa"/>
      </w:tblGrid>
      <w:tblPr>
        <w:tblW w:w="10005" w:type="dxa"/>
        <w:tblCellSpacing w:w="0" w:type="dxa"/>
        <w:tblLayout w:type="autofit"/>
      </w:tblPr>
      <w:tr>
        <w:trPr/>
        <w:tc>
          <w:tcPr>
            <w:tcW w:w="1365" w:type="dxa"/>
            <w:vAlign w:val="top"/>
            <w:gridSpan w:val="4"/>
            <w:noWrap/>
          </w:tcPr>
          <w:p>
            <w:pPr>
              <w:jc w:val="center"/>
            </w:pPr>
            <w:r>
              <w:rPr/>
              <w:t xml:space="preserve">Юноши</w:t>
            </w:r>
          </w:p>
        </w:tc>
      </w:tr>
      <w:tr>
        <w:trPr/>
        <w:tc>
          <w:tcPr>
            <w:tcW w:w="11760" w:type="dxa"/>
            <w:noWrap/>
          </w:tcPr>
          <w:p>
            <w:pPr>
              <w:jc w:val="center"/>
            </w:pPr>
            <w:r>
              <w:rPr/>
              <w:t xml:space="preserve">Виды испытаний (тесты)</w:t>
            </w:r>
          </w:p>
        </w:tc>
        <w:tc>
          <w:tcPr>
            <w:tcW w:w="5115" w:type="dxa"/>
            <w:vAlign w:val="top"/>
            <w:noWrap/>
          </w:tcPr>
          <w:p>
            <w:pPr>
              <w:jc w:val="center"/>
            </w:pPr>
            <w:r>
              <w:rPr/>
              <w:t xml:space="preserve">1 очко</w:t>
            </w:r>
          </w:p>
        </w:tc>
        <w:tc>
          <w:tcPr>
            <w:tcW w:w="4425" w:type="dxa"/>
            <w:vAlign w:val="top"/>
            <w:noWrap/>
          </w:tcPr>
          <w:p>
            <w:pPr>
              <w:jc w:val="center"/>
            </w:pPr>
            <w:r>
              <w:rPr/>
              <w:t xml:space="preserve">2 очка</w:t>
            </w:r>
          </w:p>
        </w:tc>
        <w:tc>
          <w:tcPr>
            <w:tcW w:w="4605" w:type="dxa"/>
            <w:vAlign w:val="top"/>
            <w:noWrap/>
          </w:tcPr>
          <w:p>
            <w:pPr>
              <w:jc w:val="center"/>
            </w:pPr>
            <w:r>
              <w:rPr/>
              <w:t xml:space="preserve">3 очка</w:t>
            </w:r>
          </w:p>
        </w:tc>
      </w:tr>
      <w:tr>
        <w:trPr/>
        <w:tc>
          <w:tcPr>
            <w:tcW w:w="11760" w:type="dxa"/>
            <w:vAlign w:val="top"/>
            <w:noWrap/>
          </w:tcPr>
          <w:p>
            <w:pPr>
              <w:jc w:val="start"/>
            </w:pPr>
            <w:r>
              <w:rPr/>
              <w:t xml:space="preserve">Бег на 60 м (сек.)</w:t>
            </w:r>
          </w:p>
        </w:tc>
        <w:tc>
          <w:tcPr>
            <w:tcW w:w="5115" w:type="dxa"/>
            <w:noWrap/>
          </w:tcPr>
          <w:p>
            <w:pPr>
              <w:jc w:val="center"/>
            </w:pPr>
            <w:r>
              <w:rPr/>
              <w:t xml:space="preserve">8,9</w:t>
            </w:r>
          </w:p>
        </w:tc>
        <w:tc>
          <w:tcPr>
            <w:tcW w:w="4425" w:type="dxa"/>
            <w:noWrap/>
          </w:tcPr>
          <w:p>
            <w:pPr>
              <w:jc w:val="center"/>
            </w:pPr>
            <w:r>
              <w:rPr/>
              <w:t xml:space="preserve">8,4</w:t>
            </w:r>
          </w:p>
        </w:tc>
        <w:tc>
          <w:tcPr>
            <w:tcW w:w="4605" w:type="dxa"/>
            <w:noWrap/>
          </w:tcPr>
          <w:p>
            <w:pPr>
              <w:jc w:val="center"/>
            </w:pPr>
            <w:r>
              <w:rPr/>
              <w:t xml:space="preserve">7,9</w:t>
            </w:r>
          </w:p>
        </w:tc>
      </w:tr>
      <w:tr>
        <w:trPr/>
        <w:tc>
          <w:tcPr>
            <w:tcW w:w="11760" w:type="dxa"/>
            <w:vAlign w:val="top"/>
            <w:noWrap/>
          </w:tcPr>
          <w:p>
            <w:pPr>
              <w:jc w:val="start"/>
            </w:pPr>
            <w:r>
              <w:rPr/>
              <w:t xml:space="preserve">Бег на 100 м (сек.)</w:t>
            </w:r>
          </w:p>
        </w:tc>
        <w:tc>
          <w:tcPr>
            <w:tcW w:w="5115" w:type="dxa"/>
            <w:noWrap/>
          </w:tcPr>
          <w:p>
            <w:pPr>
              <w:jc w:val="center"/>
            </w:pPr>
            <w:r>
              <w:rPr/>
              <w:t xml:space="preserve">14,8</w:t>
            </w:r>
          </w:p>
        </w:tc>
        <w:tc>
          <w:tcPr>
            <w:tcW w:w="4425" w:type="dxa"/>
            <w:noWrap/>
          </w:tcPr>
          <w:p>
            <w:pPr>
              <w:jc w:val="center"/>
            </w:pPr>
            <w:r>
              <w:rPr/>
              <w:t xml:space="preserve">14,1</w:t>
            </w:r>
          </w:p>
        </w:tc>
        <w:tc>
          <w:tcPr>
            <w:tcW w:w="4605" w:type="dxa"/>
            <w:noWrap/>
          </w:tcPr>
          <w:p>
            <w:pPr>
              <w:jc w:val="center"/>
            </w:pPr>
            <w:r>
              <w:rPr/>
              <w:t xml:space="preserve">13,2</w:t>
            </w:r>
          </w:p>
        </w:tc>
      </w:tr>
      <w:tr>
        <w:trPr/>
        <w:tc>
          <w:tcPr>
            <w:tcW w:w="11760" w:type="dxa"/>
            <w:vAlign w:val="top"/>
            <w:noWrap/>
          </w:tcPr>
          <w:p>
            <w:pPr>
              <w:jc w:val="start"/>
            </w:pPr>
            <w:r>
              <w:rPr/>
              <w:t xml:space="preserve">Бег 1000 м (мин, сек)</w:t>
            </w:r>
          </w:p>
        </w:tc>
        <w:tc>
          <w:tcPr>
            <w:tcW w:w="5115" w:type="dxa"/>
            <w:noWrap/>
          </w:tcPr>
          <w:p>
            <w:pPr>
              <w:jc w:val="center"/>
            </w:pPr>
            <w:r>
              <w:rPr/>
              <w:t xml:space="preserve">4,15</w:t>
            </w:r>
          </w:p>
        </w:tc>
        <w:tc>
          <w:tcPr>
            <w:tcW w:w="4425" w:type="dxa"/>
            <w:noWrap/>
          </w:tcPr>
          <w:p>
            <w:pPr>
              <w:jc w:val="center"/>
            </w:pPr>
            <w:r>
              <w:rPr/>
              <w:t xml:space="preserve">3,50</w:t>
            </w:r>
          </w:p>
        </w:tc>
        <w:tc>
          <w:tcPr>
            <w:tcW w:w="4605" w:type="dxa"/>
            <w:noWrap/>
          </w:tcPr>
          <w:p>
            <w:pPr>
              <w:jc w:val="center"/>
            </w:pPr>
            <w:r>
              <w:rPr/>
              <w:t xml:space="preserve">3,30</w:t>
            </w:r>
          </w:p>
        </w:tc>
      </w:tr>
      <w:tr>
        <w:trPr/>
        <w:tc>
          <w:tcPr>
            <w:tcW w:w="11760" w:type="dxa"/>
            <w:vAlign w:val="top"/>
            <w:noWrap/>
          </w:tcPr>
          <w:p>
            <w:pPr>
              <w:jc w:val="start"/>
            </w:pPr>
            <w:r>
              <w:rPr/>
              <w:t xml:space="preserve">Бег 3000 м (мин, сек)</w:t>
            </w:r>
          </w:p>
        </w:tc>
        <w:tc>
          <w:tcPr>
            <w:tcW w:w="5115" w:type="dxa"/>
            <w:noWrap/>
          </w:tcPr>
          <w:p>
            <w:pPr>
              <w:jc w:val="center"/>
            </w:pPr>
            <w:r>
              <w:rPr/>
              <w:t xml:space="preserve">15,20</w:t>
            </w:r>
          </w:p>
        </w:tc>
        <w:tc>
          <w:tcPr>
            <w:tcW w:w="4425" w:type="dxa"/>
            <w:noWrap/>
          </w:tcPr>
          <w:p>
            <w:pPr>
              <w:jc w:val="center"/>
            </w:pPr>
            <w:r>
              <w:rPr/>
              <w:t xml:space="preserve">14,10</w:t>
            </w:r>
          </w:p>
        </w:tc>
        <w:tc>
          <w:tcPr>
            <w:tcW w:w="4605" w:type="dxa"/>
            <w:noWrap/>
          </w:tcPr>
          <w:p>
            <w:pPr>
              <w:jc w:val="center"/>
            </w:pPr>
            <w:r>
              <w:rPr/>
              <w:t xml:space="preserve">12,20</w:t>
            </w:r>
          </w:p>
        </w:tc>
      </w:tr>
      <w:tr>
        <w:trPr/>
        <w:tc>
          <w:tcPr>
            <w:tcW w:w="11760" w:type="dxa"/>
            <w:vAlign w:val="top"/>
            <w:noWrap/>
          </w:tcPr>
          <w:p>
            <w:pPr>
              <w:jc w:val="start"/>
            </w:pPr>
            <w:r>
              <w:rPr/>
              <w:t xml:space="preserve">Наклон вперед из положения стоя с прямыми ногами на</w:t>
            </w:r>
          </w:p>
        </w:tc>
        <w:tc>
          <w:tcPr>
            <w:tcW w:w="5115" w:type="dxa"/>
            <w:noWrap/>
          </w:tcPr>
          <w:p>
            <w:pPr>
              <w:jc w:val="center"/>
            </w:pPr>
            <w:r>
              <w:rPr/>
              <w:t xml:space="preserve">+6</w:t>
            </w:r>
          </w:p>
        </w:tc>
        <w:tc>
          <w:tcPr>
            <w:tcW w:w="4425" w:type="dxa"/>
            <w:noWrap/>
          </w:tcPr>
          <w:p>
            <w:pPr>
              <w:jc w:val="center"/>
            </w:pPr>
            <w:r>
              <w:rPr/>
              <w:t xml:space="preserve">+8</w:t>
            </w:r>
          </w:p>
        </w:tc>
        <w:tc>
          <w:tcPr>
            <w:tcW w:w="4605" w:type="dxa"/>
            <w:noWrap/>
          </w:tcPr>
          <w:p>
            <w:pPr>
              <w:jc w:val="center"/>
            </w:pPr>
            <w:r>
              <w:rPr/>
              <w:t xml:space="preserve">+13</w:t>
            </w:r>
          </w:p>
        </w:tc>
      </w:tr>
      <w:tr>
        <w:trPr/>
        <w:tc>
          <w:tcPr>
            <w:tcW w:w="11760" w:type="dxa"/>
            <w:vAlign w:val="top"/>
            <w:noWrap/>
          </w:tcPr>
          <w:p>
            <w:pPr>
              <w:jc w:val="start"/>
            </w:pPr>
            <w:r>
              <w:rPr/>
              <w:t xml:space="preserve">Подтягивание из виса на высокой перекладине (кол-во раз)</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15</w:t>
            </w:r>
          </w:p>
        </w:tc>
      </w:tr>
      <w:tr>
        <w:trPr/>
        <w:tc>
          <w:tcPr>
            <w:tcW w:w="11760" w:type="dxa"/>
            <w:vAlign w:val="top"/>
            <w:noWrap/>
          </w:tcPr>
          <w:p>
            <w:pPr>
              <w:jc w:val="start"/>
            </w:pPr>
            <w:r>
              <w:rPr/>
              <w:t xml:space="preserve">Поднимание туловища из положения лежа на спине (кол-во раз за 1 мин.)</w:t>
            </w:r>
          </w:p>
        </w:tc>
        <w:tc>
          <w:tcPr>
            <w:tcW w:w="5115" w:type="dxa"/>
            <w:noWrap/>
          </w:tcPr>
          <w:p>
            <w:pPr>
              <w:jc w:val="center"/>
            </w:pPr>
            <w:r>
              <w:rPr/>
              <w:t xml:space="preserve">34</w:t>
            </w:r>
          </w:p>
        </w:tc>
        <w:tc>
          <w:tcPr>
            <w:tcW w:w="4425" w:type="dxa"/>
            <w:noWrap/>
          </w:tcPr>
          <w:p>
            <w:pPr>
              <w:jc w:val="center"/>
            </w:pPr>
            <w:r>
              <w:rPr/>
              <w:t xml:space="preserve">41</w:t>
            </w:r>
          </w:p>
        </w:tc>
        <w:tc>
          <w:tcPr>
            <w:tcW w:w="4605" w:type="dxa"/>
            <w:noWrap/>
          </w:tcPr>
          <w:p>
            <w:pPr>
              <w:jc w:val="center"/>
            </w:pPr>
            <w:r>
              <w:rPr/>
              <w:t xml:space="preserve">51</w:t>
            </w:r>
          </w:p>
        </w:tc>
      </w:tr>
      <w:tr>
        <w:trPr/>
        <w:tc>
          <w:tcPr>
            <w:tcW w:w="11760" w:type="dxa"/>
            <w:vAlign w:val="top"/>
            <w:noWrap/>
          </w:tcPr>
          <w:p>
            <w:pPr>
              <w:jc w:val="start"/>
            </w:pPr>
            <w:r>
              <w:rPr/>
              <w:t xml:space="preserve">Прыжок в длину с места толчком двумя ногами</w:t>
            </w:r>
          </w:p>
        </w:tc>
        <w:tc>
          <w:tcPr>
            <w:tcW w:w="5115" w:type="dxa"/>
            <w:noWrap/>
          </w:tcPr>
          <w:p>
            <w:pPr>
              <w:jc w:val="center"/>
            </w:pPr>
            <w:r>
              <w:rPr/>
              <w:t xml:space="preserve">192</w:t>
            </w:r>
          </w:p>
        </w:tc>
        <w:tc>
          <w:tcPr>
            <w:tcW w:w="4425" w:type="dxa"/>
            <w:noWrap/>
          </w:tcPr>
          <w:p>
            <w:pPr>
              <w:jc w:val="center"/>
            </w:pPr>
            <w:r>
              <w:rPr/>
              <w:t xml:space="preserve">213</w:t>
            </w:r>
          </w:p>
        </w:tc>
        <w:tc>
          <w:tcPr>
            <w:tcW w:w="4605" w:type="dxa"/>
            <w:noWrap/>
          </w:tcPr>
          <w:p>
            <w:pPr>
              <w:jc w:val="center"/>
            </w:pPr>
            <w:r>
              <w:rPr/>
              <w:t xml:space="preserve">233</w:t>
            </w:r>
          </w:p>
        </w:tc>
      </w:tr>
      <w:tr>
        <w:trPr/>
        <w:tc>
          <w:tcPr>
            <w:tcW w:w="11760" w:type="dxa"/>
            <w:vAlign w:val="top"/>
            <w:noWrap/>
          </w:tcPr>
          <w:p>
            <w:pPr>
              <w:jc w:val="start"/>
            </w:pPr>
            <w:r>
              <w:rPr/>
              <w:t xml:space="preserve">Жим штанги лёжа «народный жим»</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Критерии оценки теоретической подготовленности:</w:t>
      </w:r>
    </w:p>
    <w:tbl>
      <w:tblGrid>
        <w:gridCol w:w="146595" w:type="dxa"/>
        <w:gridCol w:w="12960" w:type="dxa"/>
        <w:gridCol w:w="5115" w:type="dxa"/>
      </w:tblGrid>
      <w:tblPr>
        <w:tblW w:w="9750" w:type="dxa"/>
        <w:tblCellSpacing w:w="0" w:type="dxa"/>
        <w:tblLayout w:type="autofit"/>
      </w:tblPr>
      <w:tr>
        <w:trPr/>
        <w:tc>
          <w:tcPr>
            <w:tcW w:w="146595" w:type="dxa"/>
            <w:noWrap/>
          </w:tcPr>
          <w:p>
            <w:pPr>
              <w:jc w:val="center"/>
            </w:pPr>
            <w:r>
              <w:rPr/>
              <w:t xml:space="preserve">№ теста</w:t>
            </w:r>
          </w:p>
        </w:tc>
        <w:tc>
          <w:tcPr>
            <w:tcW w:w="12960" w:type="dxa"/>
            <w:noWrap/>
          </w:tcPr>
          <w:p>
            <w:pPr>
              <w:jc w:val="center"/>
            </w:pPr>
            <w:r>
              <w:rPr/>
              <w:t xml:space="preserve">Виды испытаний (тесты)</w:t>
            </w:r>
          </w:p>
        </w:tc>
        <w:tc>
          <w:tcPr>
            <w:tcW w:w="5115" w:type="dxa"/>
            <w:noWrap/>
          </w:tcPr>
          <w:p>
            <w:pPr>
              <w:jc w:val="center"/>
            </w:pPr>
            <w:r>
              <w:rPr/>
              <w:t xml:space="preserve">баллы</w:t>
            </w:r>
          </w:p>
        </w:tc>
      </w:tr>
      <w:tr>
        <w:trPr/>
        <w:tc>
          <w:tcPr>
            <w:tcW w:w="146595" w:type="dxa"/>
            <w:noWrap/>
          </w:tcPr>
          <w:p>
            <w:pPr>
              <w:jc w:val="center"/>
            </w:pPr>
            <w:r>
              <w:rPr/>
              <w:t xml:space="preserve">1.7</w:t>
            </w:r>
          </w:p>
        </w:tc>
        <w:tc>
          <w:tcPr>
            <w:tcW w:w="12960" w:type="dxa"/>
            <w:vAlign w:val="bottom"/>
            <w:noWrap/>
          </w:tcPr>
          <w:p>
            <w:pPr>
              <w:jc w:val="start"/>
            </w:pPr>
            <w:r>
              <w:rPr/>
              <w:t xml:space="preserve">Тест для оценки теоретических знаний раздела №1 «Физическая культура в общекультурной и профессиональной подготовке студента» (сервер </w:t>
            </w:r>
            <w:r>
              <w:rPr>
                <w:lang w:val="en-US"/>
              </w:rPr>
              <w:t xml:space="preserve">Moodle</w:t>
            </w:r>
            <w:r>
              <w:rPr/>
              <w:t xml:space="preserve">), </w:t>
            </w:r>
          </w:p>
          <w:p>
            <w:pPr>
              <w:jc w:val="start"/>
            </w:pPr>
            <w:r>
              <w:rPr/>
              <w:t xml:space="preserve">Итоговый тест курса «Физическая культура и спорт» </w:t>
            </w:r>
            <w:hyperlink r:id="rId7" w:history="1">
              <w:r>
                <w:rPr>
                  <w:u w:val="single"/>
                </w:rPr>
                <w:t xml:space="preserve">https://moodle2.petrsu.ru/course/view.php?id=1010</w:t>
              </w:r>
            </w:hyperlink>
          </w:p>
        </w:tc>
        <w:tc>
          <w:tcPr>
            <w:tcW w:w="5115" w:type="dxa"/>
            <w:noWrap/>
          </w:tcPr>
          <w:p>
            <w:pPr>
              <w:numPr>
                <w:ilvl w:val="0"/>
                <w:numId w:val="1"/>
              </w:numPr>
            </w:pPr>
            <w:r>
              <w:rPr/>
              <w:t xml:space="preserve">балла,</w:t>
            </w:r>
          </w:p>
          <w:p>
            <w:pPr>
              <w:jc w:val="center"/>
            </w:pPr>
            <w:r>
              <w:rPr/>
              <w:t xml:space="preserve">Кол-во правильных ответов 27 из 30, разрешено 3 попытки, время выполнения до 30 минут</w:t>
            </w:r>
          </w:p>
        </w:tc>
      </w:tr>
    </w:tbl>
    <w:p>
      <w:pPr/>
    </w:p>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p>
    <w:p>
      <w:pPr>
        <w:jc w:val="both"/>
      </w:pPr>
      <w:r>
        <w:rPr/>
        <w:t xml:space="preserve">План работы со студентами 1 курса, освобожденными от практических занятий по физической культуре на длительный срок:</w:t>
      </w:r>
    </w:p>
    <w:p>
      <w:pPr/>
      <w:r>
        <w:rPr/>
        <w:t xml:space="preserve">1.1 Диагноз и краткая характеристика заболевания.</w:t>
      </w:r>
    </w:p>
    <w:p>
      <w:pPr/>
      <w:r>
        <w:rPr/>
        <w:t xml:space="preserve">Реферат (объем 6-8 стр., с соблюдением всех требований к написанию реферата). Срок предоставления до 1 октября</w:t>
      </w:r>
    </w:p>
    <w:p>
      <w:pPr/>
      <w:r>
        <w:rPr/>
        <w:t xml:space="preserve">Параллельно с написанием работы 1, начинаете вести самонаблюдение для написания работы  2 (эссе)</w:t>
      </w:r>
    </w:p>
    <w:p>
      <w:pPr/>
      <w:r>
        <w:rPr/>
        <w:t xml:space="preserve">1.2.Влияние заболевания на собственное самочувствие и работоспособность</w:t>
      </w:r>
    </w:p>
    <w:p>
      <w:pPr/>
      <w:r>
        <w:rPr/>
        <w:t xml:space="preserve">Эссе (самоанализ самочувствия (на основе наблюдения за собой в течение 2-3 недель), определение промежутков улучшения/ухудшения самочувствия, повышенной утомляемости и работоспособности; анализ причин, влияющих на  самочувствие).  Объем – 8-10 стр, срок предоставления до  20 октября</w:t>
      </w:r>
    </w:p>
    <w:p>
      <w:pPr/>
      <w:r>
        <w:rPr/>
        <w:t xml:space="preserve">1.3. Противопоказания и показанные (рекомендуемые) средства физической культуры при данном заболевании.</w:t>
      </w:r>
    </w:p>
    <w:p>
      <w:pPr/>
      <w:r>
        <w:rPr/>
        <w:t xml:space="preserve">Возможный режим двигательной активности в Вашем конкретном случае. Собственный опыт занятий ЛФК, адаптивной ФК, адаптивным спортом и другими видами активности, апробация простых/базовых упражнений, показанных при заболевании с анализом самочувствия.</w:t>
      </w:r>
    </w:p>
    <w:p>
      <w:pPr/>
      <w:r>
        <w:rPr/>
        <w:t xml:space="preserve">Реферативная работа +эссе (объем 10-12стр). Срок предоставления – до 1 ноября</w:t>
      </w:r>
    </w:p>
    <w:p>
      <w:pPr/>
      <w:r>
        <w:rPr/>
        <w:t xml:space="preserve">1.4. Обоснование индивидуальных задач двигательной активности.</w:t>
      </w:r>
    </w:p>
    <w:p>
      <w:pPr/>
      <w:r>
        <w:rPr/>
        <w:t xml:space="preserve">Составление базовых комплексов упражнений под каждую задачу (на основе предыдущих выполненных работ). Срок предоставления - до 10 ноября</w:t>
      </w:r>
    </w:p>
    <w:p>
      <w:pPr/>
      <w:r>
        <w:rPr/>
        <w:t xml:space="preserve">1.5. Ноябрь/Декабрь - демонстрация комплексов преподавателю, коррекция. Разработка Программы индивидуальной двигательной активности </w:t>
      </w:r>
    </w:p>
    <w:p>
      <w:pPr/>
    </w:p>
    <w:p>
      <w:pPr/>
      <w:r>
        <w:rPr>
          <w:b w:val="1"/>
          <w:bCs w:val="1"/>
        </w:rPr>
        <w:t xml:space="preserve">Критерии оценивания реферативной работы:</w:t>
      </w:r>
    </w:p>
    <w:p>
      <w:pP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«Зачтено» при защите реферата выставляется, если:</w:t>
      </w:r>
    </w:p>
    <w:p>
      <w:pPr>
        <w:numPr>
          <w:ilvl w:val="0"/>
          <w:numId w:val="2"/>
        </w:numPr>
      </w:pPr>
      <w:r>
        <w:rPr/>
        <w:t xml:space="preserve">полностью раскрыта заявленная тема реферата;</w:t>
      </w:r>
      <w:r>
        <w:rPr>
          <w:color w:val="000000"/>
        </w:rPr>
        <w:t xml:space="preserve"> произведено сравнение альтернативных точек зрения, сформулирована собственная позиция;</w:t>
      </w:r>
    </w:p>
    <w:p>
      <w:pPr>
        <w:numPr>
          <w:ilvl w:val="0"/>
          <w:numId w:val="2"/>
        </w:numPr>
      </w:pPr>
      <w:r>
        <w:rPr/>
        <w:t xml:space="preserve">чётко выстроена структура реферата, логично изложен текст;</w:t>
      </w:r>
    </w:p>
    <w:p>
      <w:pPr>
        <w:numPr>
          <w:ilvl w:val="0"/>
          <w:numId w:val="2"/>
        </w:numPr>
      </w:pPr>
      <w:r>
        <w:rPr/>
        <w:t xml:space="preserve">правильно и полно использованы библиографические источники;</w:t>
      </w:r>
    </w:p>
    <w:p>
      <w:pPr>
        <w:numPr>
          <w:ilvl w:val="0"/>
          <w:numId w:val="2"/>
        </w:numPr>
      </w:pPr>
      <w:r>
        <w:rPr/>
        <w:t xml:space="preserve">аккуратно оформлена работа;</w:t>
      </w:r>
    </w:p>
    <w:p>
      <w:pPr>
        <w:numPr>
          <w:ilvl w:val="0"/>
          <w:numId w:val="2"/>
        </w:numPr>
      </w:pPr>
      <w:r>
        <w:rPr/>
        <w:t xml:space="preserve">при защите – есть понимание изложенного материала.</w:t>
      </w:r>
    </w:p>
    <w:p>
      <w:pPr/>
      <w:r>
        <w:rPr/>
        <w:t xml:space="preserve">«Не зачтено» - при не выполнении данных требований.</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p>
    <w:p>
      <w:pPr/>
      <w:r>
        <w:rPr/>
        <w:t xml:space="preserve">Пример начисления баллов:</w:t>
      </w:r>
    </w:p>
    <w:p>
      <w:pPr>
        <w:numPr>
          <w:ilvl w:val="0"/>
          <w:numId w:val="3"/>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3"/>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3"/>
        </w:numPr>
      </w:pPr>
      <w:r>
        <w:rPr/>
        <w:t xml:space="preserve">Б</w:t>
      </w:r>
      <w:r>
        <w:rPr>
          <w:vertAlign w:val="subscript"/>
        </w:rPr>
        <w:t xml:space="preserve">б</w:t>
      </w:r>
      <w:r>
        <w:rPr>
          <w:i w:val="1"/>
          <w:iCs w:val="1"/>
        </w:rPr>
        <w:t xml:space="preserve"> - дополнительные (бонусные) балл:</w:t>
      </w:r>
    </w:p>
    <w:p>
      <w:pPr>
        <w:numPr>
          <w:ilvl w:val="0"/>
          <w:numId w:val="4"/>
        </w:numPr>
      </w:pPr>
      <w:r>
        <w:rPr/>
        <w:t xml:space="preserve">за спортивно - физкультурную активность в течение семестра начисляются:</w:t>
      </w:r>
    </w:p>
    <w:p>
      <w:pPr>
        <w:numPr>
          <w:ilvl w:val="0"/>
          <w:numId w:val="5"/>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 – 40 баллов.</w:t>
      </w:r>
    </w:p>
    <w:p>
      <w:pPr>
        <w:numPr>
          <w:ilvl w:val="0"/>
          <w:numId w:val="5"/>
        </w:numPr>
      </w:pPr>
      <w:r>
        <w:rPr/>
        <w:t xml:space="preserve">за участие в соревнованиях разного ранга - от 4-х и более баллов в зависимости от статуса соревнований, занятого места (наличие протокола);</w:t>
      </w:r>
    </w:p>
    <w:p>
      <w:pPr>
        <w:numPr>
          <w:ilvl w:val="0"/>
          <w:numId w:val="5"/>
        </w:numPr>
      </w:pPr>
      <w:r>
        <w:rPr/>
        <w:t xml:space="preserve">за участие в соревнованиях университета, включенных в календарный план – от 4 баллов;</w:t>
      </w:r>
    </w:p>
    <w:p>
      <w:pPr>
        <w:numPr>
          <w:ilvl w:val="0"/>
          <w:numId w:val="5"/>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6"/>
        </w:numPr>
      </w:pPr>
      <w:r>
        <w:rPr/>
        <w:t xml:space="preserve">поход выходного дня – 2 балла.</w:t>
      </w:r>
    </w:p>
    <w:p>
      <w:pPr>
        <w:numPr>
          <w:ilvl w:val="0"/>
          <w:numId w:val="6"/>
        </w:numPr>
      </w:pPr>
      <w:r>
        <w:rPr/>
        <w:t xml:space="preserve">за научную деятельность:</w:t>
      </w:r>
    </w:p>
    <w:p>
      <w:pPr/>
      <w:r>
        <w:rPr/>
        <w:t xml:space="preserve">- участие в научных конференциях, выступление с докладом, подготовка статьи – от 4-х баллов в зависимости от выполненных работ.</w:t>
      </w:r>
    </w:p>
    <w:p>
      <w:pP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минимум 3 теста на 4 балла;</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Обучающиеся первого курса, отнесённые по состоянию здоровья к подготовительной и специальной медицинской группам, обязаны предоставить медицинскую справку. На основании данных о состоянии здоровья для проведения практических занятий студенты распределяются на 3 группы:</w:t>
      </w:r>
    </w:p>
    <w:p>
      <w:pPr/>
    </w:p>
    <w:tbl>
      <w:tblGrid>
        <w:gridCol w:w="2370" w:type="dxa"/>
        <w:gridCol w:w="3675" w:type="dxa"/>
        <w:gridCol w:w="3735" w:type="dxa"/>
      </w:tblGrid>
      <w:tblPr>
        <w:tblW w:w="10620" w:type="dxa"/>
        <w:tblCellSpacing w:w="0" w:type="dxa"/>
        <w:tblLayout w:type="autofit"/>
      </w:tblPr>
      <w:tr>
        <w:trPr/>
        <w:tc>
          <w:tcPr>
            <w:tcW w:w="2370" w:type="dxa"/>
            <w:vAlign w:val="top"/>
            <w:noWrap/>
          </w:tcPr>
          <w:p>
            <w:pPr>
              <w:jc w:val="center"/>
            </w:pPr>
            <w:r>
              <w:rPr/>
              <w:t xml:space="preserve">Наименование группы</w:t>
            </w:r>
          </w:p>
        </w:tc>
        <w:tc>
          <w:tcPr>
            <w:tcW w:w="3675" w:type="dxa"/>
            <w:vAlign w:val="top"/>
            <w:noWrap/>
          </w:tcPr>
          <w:p>
            <w:pPr>
              <w:jc w:val="center"/>
            </w:pPr>
            <w:r>
              <w:rPr/>
              <w:t xml:space="preserve">Медицинская характеристика группы</w:t>
            </w:r>
          </w:p>
        </w:tc>
        <w:tc>
          <w:tcPr>
            <w:tcW w:w="3735" w:type="dxa"/>
            <w:vAlign w:val="top"/>
            <w:noWrap/>
          </w:tcPr>
          <w:p>
            <w:pPr>
              <w:jc w:val="center"/>
            </w:pPr>
            <w:r>
              <w:rPr/>
              <w:t xml:space="preserve">Допускаемая физическая нагрузка</w:t>
            </w:r>
          </w:p>
        </w:tc>
      </w:tr>
      <w:tr>
        <w:trPr/>
        <w:tc>
          <w:tcPr>
            <w:tcW w:w="2370" w:type="dxa"/>
            <w:vAlign w:val="top"/>
            <w:noWrap/>
          </w:tcPr>
          <w:p>
            <w:pPr/>
          </w:p>
          <w:p>
            <w:pPr/>
            <w:r>
              <w:rPr/>
              <w:t xml:space="preserve">Основная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735" w:type="dxa"/>
            <w:vAlign w:val="top"/>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370" w:type="dxa"/>
            <w:vAlign w:val="top"/>
            <w:noWrap/>
          </w:tcPr>
          <w:p>
            <w:pPr/>
            <w:r>
              <w:rPr/>
              <w:t xml:space="preserve">Подготовительная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735" w:type="dxa"/>
            <w:vAlign w:val="top"/>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p>
        </w:tc>
      </w:tr>
      <w:tr>
        <w:trPr/>
        <w:tc>
          <w:tcPr>
            <w:tcW w:w="2370" w:type="dxa"/>
            <w:vAlign w:val="top"/>
            <w:noWrap/>
          </w:tcPr>
          <w:p>
            <w:pPr/>
            <w:r>
              <w:rPr/>
              <w:t xml:space="preserve">Специальная медицинская</w:t>
            </w:r>
          </w:p>
        </w:tc>
        <w:tc>
          <w:tcPr>
            <w:tcW w:w="3675" w:type="dxa"/>
            <w:vAlign w:val="top"/>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735" w:type="dxa"/>
            <w:vAlign w:val="top"/>
            <w:noWrap/>
          </w:tcPr>
          <w:p>
            <w:pPr/>
            <w:r>
              <w:rPr/>
              <w:t xml:space="preserve">Занятия по специальным учебным программам.</w:t>
            </w:r>
          </w:p>
        </w:tc>
      </w:tr>
    </w:tbl>
    <w:p>
      <w:pP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w:t>
      </w:r>
      <w:r>
        <w:rPr>
          <w:lang w:val="en-US"/>
        </w:rPr>
        <w:t xml:space="preserve">Moodle</w:t>
      </w:r>
      <w:r>
        <w:rPr/>
        <w:t xml:space="preserv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занятиям необходимо продумать план проведения, содержание вступи</w:t>
      </w:r>
      <w:r>
        <w:rPr>
          <w:color w:val="000000"/>
        </w:rPr>
        <w:t xml:space="preserve">тельной, основной и заключительной части, ознакомиться с новинками учебной и методической ли</w:t>
      </w:r>
      <w:r>
        <w:rPr>
          <w:color w:val="000000"/>
        </w:rPr>
        <w:t xml:space="preserve">тературы, публикациями периодической печати по теме занятия. Определить средства матери</w:t>
      </w:r>
      <w:r>
        <w:rPr>
          <w:color w:val="000000"/>
        </w:rPr>
        <w:t xml:space="preserve">ально-технического обеспечения занятия и порядок их использования.</w:t>
      </w:r>
    </w:p>
    <w:p>
      <w:pPr/>
      <w:r>
        <w:rPr>
          <w:color w:val="000000"/>
        </w:rPr>
        <w:t xml:space="preserve">В ходе занятия преподаватель должен назвать тему, </w:t>
      </w:r>
      <w:r>
        <w:rPr>
          <w:color w:val="000000"/>
        </w:rPr>
        <w:t xml:space="preserve">раскрыть её практическое значение и </w:t>
      </w:r>
      <w:r>
        <w:rPr>
          <w:color w:val="000000"/>
        </w:rPr>
        <w:t xml:space="preserve"> руководить работой студентов по усвоению учебного материала. </w:t>
      </w:r>
      <w:r>
        <w:rPr/>
        <w:t xml:space="preserve">После каждого занятия сделать соответствующую запись в </w:t>
      </w:r>
      <w:r>
        <w:rPr/>
        <w:t xml:space="preserve">журналах учёта посещаемости занятий студентами. </w:t>
      </w:r>
      <w:r>
        <w:rPr/>
        <w:t xml:space="preserve">Проводить групповые и индивидуальные консультации студентов в ходе их подго</w:t>
      </w:r>
      <w:r>
        <w:rPr/>
        <w:t xml:space="preserve">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7"/>
        </w:numPr>
      </w:pPr>
      <w:r>
        <w:rPr/>
        <w:t xml:space="preserve">Димова, А. Л. Базовые виды физкультурно-спортивной деятельности с методикой преподавания : учебник для вузов / А. Л. Димова. — Москва : Изд-во Юрайт, 2025. — 428 с. — (Высшее образование). — Режим доступа: по подписке. — URL: https://urait.ru/bcode/567585 (дата обращения: 17.04.2025).— ISBN 978-5-534-14068-2. — Текст : электронный.</w:t>
      </w:r>
    </w:p>
    <w:p>
      <w:pPr>
        <w:numPr>
          <w:ilvl w:val="0"/>
          <w:numId w:val="7"/>
        </w:numPr>
      </w:pPr>
      <w:r>
        <w:rPr/>
        <w:t xml:space="preserve">Муллер, А. Б. Физическая культура : учебник и практикум для вузов / А. Б. Муллер, Н. С. Дядичкина, Ю. А. Богащенко. — Москва : Изд-во Юрайт, 2025. — 424 с. — (Высшее образование). — Режим доступа: по подписке. — URL: https://urait.ru/bcode/559943 (дата обращения: 15.04.2025). — ISBN 978-5-534-02483-8. — Текст : электронный.</w:t>
      </w:r>
    </w:p>
    <w:p>
      <w:pPr>
        <w:numPr>
          <w:ilvl w:val="0"/>
          <w:numId w:val="7"/>
        </w:numPr>
      </w:pPr>
      <w:r>
        <w:rPr/>
        <w:t xml:space="preserve">Письменский, И. А. Физическая культура : учебник для вузов / И. А. Письменский, Ю. Н. Аллянов. — Москва : Изд-во Юрайт, 2025. — 450 с. — (Высшее образование). — Режим доступа: по подписке. — URL: https://urait.ru/bcode/560410 (дата обращения: 17.04.2025). — ISBN 978-5-534-14056-9. — Текст : электронный.</w:t>
      </w:r>
    </w:p>
    <w:p>
      <w:pPr>
        <w:numPr>
          <w:ilvl w:val="0"/>
          <w:numId w:val="7"/>
        </w:numPr>
      </w:pPr>
      <w:r>
        <w:rPr/>
        <w:t xml:space="preserve">Самостоятельная работа студента по физической культуре : учебник для вузов / под ред. В. Л. Кондакова. — 2-е изд., испр. и доп. — Москва : Изд-во Юрайт, 2025. — 148 с. — (Высшее образование). — Режим доступа: по подписке. — URL: https://urait.ru/bcode/566502 (дата обращения: 17.04.2025). — ISBN 978-5-534-19295-7. — Текст : электронный.</w:t>
      </w:r>
    </w:p>
    <w:p>
      <w:pPr>
        <w:jc w:val="both"/>
        <w:ind w:left="0" w:right="0" w:firstLine="570" w:hanging="0"/>
        <w:spacing w:before="240" w:after="240"/>
      </w:pPr>
      <w:r>
        <w:rPr>
          <w:b w:val="1"/>
          <w:bCs w:val="1"/>
        </w:rPr>
        <w:t xml:space="preserve">8.2. Дополнительная литература:</w:t>
      </w:r>
    </w:p>
    <w:p>
      <w:pPr/>
      <w:br/>
      <w:br/>
    </w:p>
    <w:p>
      <w:pPr>
        <w:numPr>
          <w:ilvl w:val="0"/>
          <w:numId w:val="8"/>
        </w:numPr>
      </w:pPr>
      <w:r>
        <w:rPr/>
        <w:t xml:space="preserve">Адаптивная и лечебная физическая культура. Плавание : учебник для вузов / Н. Ж. Булгакова, С. Н. Морозов, О. И. Попов, Т. С. Морозова ; под ред. Н. Ж. Булгаковой. — 3-е изд., перераб. и доп. — Москва : Изд-во Юрайт, 2025. — 401 с. — (Высшее образование). — Режим доступа: по подписке. — URL: https://urait.ru/bcode/564746 (дата обращения: 17.04.2025). — ISBN 978-5-534-08390-3. — Текст : электронный.</w:t>
      </w:r>
    </w:p>
    <w:p>
      <w:pPr>
        <w:numPr>
          <w:ilvl w:val="0"/>
          <w:numId w:val="8"/>
        </w:numPr>
      </w:pPr>
      <w:r>
        <w:rPr/>
        <w:t xml:space="preserve">Баскетбол, волейбол : учебник для вузов / под ред. Е. В. Конеевой. — 2-е изд., перераб. и доп. — Москва : Изд-во Юрайт, 2025. — 176 с. — (Высшее образование). — Режим доступа: по подписке. — URL: https://urait.ru/bcode/569039 (дата обращения: 17.04.2025). — ISBN 978-5-534-19017-5. — Текст : электронный.</w:t>
      </w:r>
    </w:p>
    <w:p>
      <w:pPr>
        <w:numPr>
          <w:ilvl w:val="0"/>
          <w:numId w:val="8"/>
        </w:numPr>
      </w:pPr>
      <w:r>
        <w:rPr/>
        <w:t xml:space="preserve">Зайцев, А. А. Легкая атлетика : учебник для вузов / А. А. Зайцев, С. Я. Луценко ; под редакцией А. А. Зайцева. — 3-е изд., перераб. и доп. — Москва : Изд-во Юрайт, 2025. — 70 с. — (Высшее образование). — Режим доступа: по подписке. — URL: https://urait.ru/bcode/569107 (дата обращения: 17.04.2025). — ISBN 978-5-534-19947-5. — Текст : электронный.</w:t>
      </w:r>
    </w:p>
    <w:p>
      <w:pPr>
        <w:numPr>
          <w:ilvl w:val="0"/>
          <w:numId w:val="8"/>
        </w:numPr>
      </w:pPr>
      <w:r>
        <w:rPr/>
        <w:t xml:space="preserve">Организационно-методические условия эффективности самостоятельной работы студентов по развитию силы : учебно-методическое электронное пособие / сост. А. В. Киселев. – Петрозаводск : Изд-во ПетрГУ, 2021. – [30] c. — ISBN 978-5-8021-3813-7.</w:t>
      </w:r>
    </w:p>
    <w:p>
      <w:pPr>
        <w:numPr>
          <w:ilvl w:val="0"/>
          <w:numId w:val="8"/>
        </w:numPr>
      </w:pPr>
      <w:r>
        <w:rPr/>
        <w:t xml:space="preserve">Пономарев, А. К. Организационно-методическое обеспечение и реализация всероссийского физкультурно-спортивного комплекса «Готов к труду и обороне» в системе физического воспитания : учебник для вузов / А. К. Пономарев, С. Н. Амелин. — Москва : Изд-во Юрайт, 2025. — 164 с. — (Высшее образование). — Режим доступа: по подписке. — URL: https://urait.ru/bcode/568343 (дата обращения: 17.04.2025). — ISBN 978-5-534-15477-1.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i w:val="1"/>
          <w:iCs w:val="1"/>
        </w:rPr>
        <w:t xml:space="preserve">а) программное обеспечение</w:t>
      </w:r>
    </w:p>
    <w:p>
      <w:pPr/>
      <w:r>
        <w:rPr/>
        <w:t xml:space="preserve">Программное обеспечение и Интернет-ресурсы:</w:t>
      </w:r>
    </w:p>
    <w:p>
      <w:pPr/>
      <w:r>
        <w:rPr>
          <w:lang w:val="en-US"/>
          <w:color w:val="000000"/>
        </w:rPr>
        <w:t xml:space="preserve">1. </w:t>
      </w:r>
      <w:r>
        <w:rPr>
          <w:color w:val="000000"/>
        </w:rPr>
        <w:t xml:space="preserve">Пакет</w:t>
      </w:r>
      <w:r>
        <w:rPr>
          <w:lang w:val="en-US"/>
          <w:color w:val="000000"/>
        </w:rPr>
        <w:t xml:space="preserve"> Microsoft Office 2007-2010 (Word, Excel, Power Point)</w:t>
      </w:r>
    </w:p>
    <w:p>
      <w:pPr/>
      <w:r>
        <w:rPr/>
        <w:t xml:space="preserve">2. Пакет для просмотра и печати документов Adobe Acrobat Reader, Foxit Reader и др.</w:t>
      </w:r>
    </w:p>
    <w:p>
      <w:pPr/>
      <w:r>
        <w:rPr/>
        <w:t xml:space="preserve">3. Средства поиска информации в глобальной сети Интернет и веб-пространстве: Яндекс Браузер, Atom, Chrome, Firefox, Edge, Opera и др.</w:t>
      </w:r>
    </w:p>
    <w:p>
      <w:pPr/>
      <w:r>
        <w:rPr>
          <w:i w:val="1"/>
          <w:iCs w:val="1"/>
        </w:rPr>
        <w:t xml:space="preserve">б) интернет-ресурсы</w:t>
      </w:r>
    </w:p>
    <w:p>
      <w:pPr/>
      <w:hyperlink r:id="rId8" w:history="1">
        <w:r>
          <w:rPr>
            <w:u w:val="single"/>
          </w:rPr>
          <w:t xml:space="preserve">Центральная отраслевая библиотека по физической культуре и спорту</w:t>
        </w:r>
      </w:hyperlink>
      <w:r>
        <w:rPr>
          <w:color w:val="000000"/>
        </w:rPr>
        <w:t xml:space="preserve">.</w:t>
      </w:r>
      <w:r>
        <w:rPr>
          <w:color w:val="000000"/>
        </w:rPr>
        <w:t xml:space="preserve">Режим доступа: </w:t>
      </w:r>
      <w:hyperlink r:id="rId9" w:history="1">
        <w:r>
          <w:rPr>
            <w:u w:val="single"/>
          </w:rPr>
          <w:t xml:space="preserve">http://lib.sportedu.ru/</w:t>
        </w:r>
      </w:hyperlink>
    </w:p>
    <w:p>
      <w:pPr/>
      <w:r>
        <w:rPr/>
        <w:t xml:space="preserve">Сайт Государственного комитета Республики Карелия по физической культуре и спорту Режим доступа: </w:t>
      </w:r>
      <w:hyperlink r:id="rId10" w:history="1">
        <w:r>
          <w:rPr>
            <w:u w:val="single"/>
          </w:rPr>
          <w:t xml:space="preserve">http://goskomsportrk.ru/</w:t>
        </w:r>
      </w:hyperlink>
    </w:p>
    <w:p>
      <w:pPr/>
      <w:r>
        <w:rPr/>
        <w:t xml:space="preserve">Спортивный портал Карелии Режим доступа: </w:t>
      </w:r>
      <w:hyperlink r:id="rId11" w:history="1">
        <w:r>
          <w:rPr>
            <w:u w:val="single"/>
          </w:rPr>
          <w:t xml:space="preserve">http://sportptz.ru/4743/</w:t>
        </w:r>
      </w:hyperlink>
    </w:p>
    <w:p>
      <w:pPr/>
      <w:r>
        <w:rPr/>
        <w:t xml:space="preserve">Теоретический курс дисциплины «Физическая культура и спорт» Режим доступа: </w:t>
      </w:r>
      <w:hyperlink r:id="rId12" w:history="1">
        <w:r>
          <w:rPr>
            <w:u w:val="single"/>
          </w:rPr>
          <w:t xml:space="preserve">https://moodle2.petrsu.ru/course/index.php?categoryid=49</w:t>
        </w:r>
      </w:hyperlink>
    </w:p>
    <w:p>
      <w:pPr/>
      <w:r>
        <w:rPr/>
        <w:t xml:space="preserve">Электронный каталог Научной библиотеки ПетрГУ </w:t>
      </w:r>
      <w:hyperlink r:id="rId13" w:history="1">
        <w:r>
          <w:rPr>
            <w:u w:val="single"/>
          </w:rPr>
          <w:t xml:space="preserve">http://foliant.ru/catalog/psulibr</w:t>
        </w:r>
      </w:hyperlink>
    </w:p>
    <w:p>
      <w:pPr/>
      <w:r>
        <w:rPr/>
        <w:t xml:space="preserve">Электронный каталог библиотеки Республики Карелия http://elibrary.karelia.ru/</w:t>
      </w:r>
    </w:p>
    <w:p>
      <w:pPr/>
      <w:r>
        <w:rPr/>
        <w:t xml:space="preserve">Электронная библиотечная система «Университетская библиотека онлайн» </w:t>
      </w:r>
      <w:hyperlink r:id="rId14" w:history="1">
        <w:r>
          <w:rPr>
            <w:u w:val="single"/>
          </w:rPr>
          <w:t xml:space="preserve">http://biblioclub.ru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start"/>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5" w:history="1">
        <w:r>
          <w:rPr/>
          <w:t xml:space="preserve">https://petrsu.ru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16" w:history="1">
        <w:r>
          <w:rPr/>
          <w:t xml:space="preserve">https://iias.petrsu.ru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17" w:history="1">
        <w:r>
          <w:rPr/>
          <w:t xml:space="preserve">https://edu.petrsu.ru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18"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19" w:history="1">
        <w:r>
          <w:rPr/>
          <w:t xml:space="preserve">https://portfolio.petrsu.ru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0" w:history="1">
        <w:r>
          <w:rPr/>
          <w:t xml:space="preserve">https://library.petrsu.ru</w:t>
        </w:r>
      </w:hyperlink>
      <w:r>
        <w:rPr>
          <w:rFonts w:ascii="Times New Roman" w:hAnsi="Times New Roman" w:eastAsia="Times New Roman" w:cs="Times New Roman"/>
        </w:rPr>
        <w:t xml:space="preserve"> ) и электронный каталог «Фолиант» (</w:t>
      </w:r>
      <w:hyperlink r:id="rId21" w:history="1">
        <w:r>
          <w:rPr/>
          <w:t xml:space="preserve">https://foliant.ru/catalog/psulibr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2" w:history="1">
        <w:r>
          <w:rPr/>
          <w:t xml:space="preserve">https://elibrary.karelia.ru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3" w:history="1">
        <w:r>
          <w:rPr/>
          <w:t xml:space="preserve">https://petrsu.ru/page/science/journals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4"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5" w:history="1">
        <w:r>
          <w:rPr/>
          <w:t xml:space="preserve">https://www.biblioclub.ru</w:t>
        </w:r>
      </w:hyperlink>
      <w:r>
        <w:rPr>
          <w:rFonts w:ascii="Times New Roman" w:hAnsi="Times New Roman" w:eastAsia="Times New Roman" w:cs="Times New Roman"/>
        </w:rPr>
        <w:t xml:space="preserve"> ), Издательств «Лань» (</w:t>
      </w:r>
      <w:hyperlink r:id="rId26" w:history="1">
        <w:r>
          <w:rPr/>
          <w:t xml:space="preserve">https://e.lanbook.com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27" w:history="1">
        <w:r>
          <w:rPr/>
          <w:t xml:space="preserve">https://www.studentlibrary.ru</w:t>
        </w:r>
      </w:hyperlink>
      <w:r>
        <w:rPr>
          <w:rFonts w:ascii="Times New Roman" w:hAnsi="Times New Roman" w:eastAsia="Times New Roman" w:cs="Times New Roman"/>
        </w:rPr>
        <w:t xml:space="preserve"> ), «Консультант врача: электронная медицинская библиотека» (</w:t>
      </w:r>
      <w:hyperlink r:id="rId28" w:history="1">
        <w:r>
          <w:rPr/>
          <w:t xml:space="preserve">https://www.rosmedlib.ru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29" w:history="1">
        <w:r>
          <w:rPr/>
          <w:t xml:space="preserve">https://urait.ru/</w:t>
        </w:r>
      </w:hyperlink>
      <w:r>
        <w:rPr>
          <w:rFonts w:ascii="Times New Roman" w:hAnsi="Times New Roman" w:eastAsia="Times New Roman" w:cs="Times New Roman"/>
        </w:rPr>
        <w:t xml:space="preserve"> ), ­ система «Антиплагиат.ВУЗ» (</w:t>
      </w:r>
      <w:hyperlink r:id="rId30" w:history="1">
        <w:r>
          <w:rPr/>
          <w:t xml:space="preserve">https://petrsu.antiplagiat.ru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color w:val="000000"/>
        </w:rPr>
        <w:t xml:space="preserve">-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p>
      <w:pPr/>
      <w:r>
        <w:rPr>
          <w:color w:val="000000"/>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color w:val="000000"/>
        </w:rPr>
        <w:t xml:space="preserve"> Спортивные сооружения ПетрГУ:</w:t>
      </w:r>
    </w:p>
    <w:p>
      <w:pPr/>
      <w:r>
        <w:rPr/>
        <w:t xml:space="preserve">Универсальные спортивные залы: на пр. Ленина, 33; на ул. Красноармейская, 31; на ул. Пушкинская, 17; на ул. Ломоносова, 65.</w:t>
      </w:r>
    </w:p>
    <w:p>
      <w:pPr/>
      <w:r>
        <w:rPr/>
        <w:t xml:space="preserve">Спортивные комплексы: студенческого городка на Университетской 10 в, 10 б, 10 в.</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8C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AD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58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F9DAD1"/>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D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9FB70"/>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47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F0A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E4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1010"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s://moodle2.petrsu.ru/course/index.php?categoryid=49" TargetMode="External"/><Relationship Id="rId13" Type="http://schemas.openxmlformats.org/officeDocument/2006/relationships/hyperlink" Target="http://foliant.ru/catalog/psulibr" TargetMode="External"/><Relationship Id="rId14" Type="http://schemas.openxmlformats.org/officeDocument/2006/relationships/hyperlink" Target="http://biblioclub.ru/" TargetMode="External"/><Relationship Id="rId15" Type="http://schemas.openxmlformats.org/officeDocument/2006/relationships/hyperlink" Target="/" TargetMode="External"/><Relationship Id="rId16" Type="http://schemas.openxmlformats.org/officeDocument/2006/relationships/hyperlink" Target="https://iias.petrsu.ru/" TargetMode="External"/><Relationship Id="rId17" Type="http://schemas.openxmlformats.org/officeDocument/2006/relationships/hyperlink" Target="https://edu.petrsu.ru/" TargetMode="External"/><Relationship Id="rId18" Type="http://schemas.openxmlformats.org/officeDocument/2006/relationships/hyperlink" Target="https://moodle2.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vk.com/petrsu_ru" TargetMode="External"/><Relationship Id="rId25" Type="http://schemas.openxmlformats.org/officeDocument/2006/relationships/hyperlink" Target="https://www.biblioclub.ru/" TargetMode="External"/><Relationship Id="rId26" Type="http://schemas.openxmlformats.org/officeDocument/2006/relationships/hyperlink" Target="https://e.lanbook.com/" TargetMode="External"/><Relationship Id="rId27" Type="http://schemas.openxmlformats.org/officeDocument/2006/relationships/hyperlink" Target="https://www.studentlibrary.ru/" TargetMode="External"/><Relationship Id="rId28" Type="http://schemas.openxmlformats.org/officeDocument/2006/relationships/hyperlink" Target="https://www.rosmedlib.ru/" TargetMode="External"/><Relationship Id="rId29" Type="http://schemas.openxmlformats.org/officeDocument/2006/relationships/hyperlink" Target="https://urait.ru/" TargetMode="External"/><Relationship Id="rId3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2026-04-21T00:03:28+03:00</dcterms:created>
  <dcterms:modified xsi:type="dcterms:W3CDTF">2026-04-21T00:03:28+03:00</dcterms:modified>
</cp:coreProperties>
</file>

<file path=docProps/custom.xml><?xml version="1.0" encoding="utf-8"?>
<Properties xmlns="http://schemas.openxmlformats.org/officeDocument/2006/custom-properties" xmlns:vt="http://schemas.openxmlformats.org/officeDocument/2006/docPropsVTypes"/>
</file>