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и практических занятий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"Понятие и признаки состава преступления" реализуется по средством проведения  практических занятий.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проводиться опрос обучающихся по теме, с целью контроля самостоятельной работы обучающихся с основной и дополнительной литературой.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проводиться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 — Текст : электронный // Образовательная платформа Юрайт [сайт]. — URL: </w:t>
      </w:r>
      <w:hyperlink r:id="rId7" w:history="1">
        <w:r>
          <w:rPr>
            <w:i w:val="1"/>
            <w:iCs w:val="1"/>
          </w:rPr>
          <w:t xml:space="preserve">https://urait.ru/bcode/580341</w:t>
        </w:r>
      </w:hyperlink>
      <w:r>
        <w:rPr>
          <w:i w:val="1"/>
          <w:iCs w:val="1"/>
        </w:rPr>
        <w:t xml:space="preserve"> (дата обращения: 29.09.2025).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Сверчков, В. В. </w:t>
      </w:r>
      <w:r>
        <w:rPr/>
        <w:t xml:space="preserve"> Преступление и состав преступления. Особенности преступного поведения и уголовного преследования : учебное пособие для вузов / В. В. Сверчков. — Москва : Издательство Юрайт, 2024. — 334 с. — (Высшее образование). — ISBN 978-5-534-09408-4.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https://urait.ru/bcode/541619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Бавсун, М. В. </w:t>
      </w:r>
      <w:r>
        <w:rPr>
          <w:i w:val="1"/>
          <w:iCs w:val="1"/>
        </w:rPr>
        <w:t xml:space="preserve">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9" w:history="1">
        <w:r>
          <w:rPr>
            <w:i w:val="1"/>
            <w:iCs w:val="1"/>
          </w:rPr>
          <w:t xml:space="preserve">https://urait.ru/bcode/534202</w:t>
        </w:r>
      </w:hyperlink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Уголовное право. Общая часть. Семестр I : учебник для вузов / И. А. Подройкина [и др.] ; ответственные редакторы И. А. Подройкина, Е. В. Серегина, С. И. Улезько. — 6-е изд., перераб. и доп. — Москва : Издательство Юрайт, 2024. — 307 с. — (Высшее образование). — ISBN 978-5-534-16554-8. — Текст : электронный // Образовательная платформа Юрайт [сайт]. — URL: </w:t>
      </w:r>
      <w:hyperlink r:id="rId10" w:history="1">
        <w:r>
          <w:rPr>
            <w:i w:val="1"/>
            <w:iCs w:val="1"/>
          </w:rPr>
          <w:t xml:space="preserve">https://urait.ru/bcode/537442</w:t>
        </w:r>
      </w:hyperlink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Уголовное право. Общая часть : учебник для вузов / А. В. Наумов [и др.] ;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1" w:history="1">
        <w:r>
          <w:rPr>
            <w:i w:val="1"/>
            <w:iCs w:val="1"/>
          </w:rPr>
          <w:t xml:space="preserve">https://urait.ru/bcode/536359</w:t>
        </w:r>
      </w:hyperlink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Козаченко, И. Я. </w:t>
      </w:r>
      <w:r>
        <w:rPr>
          <w:i w:val="1"/>
          <w:iCs w:val="1"/>
        </w:rPr>
        <w:t xml:space="preserve"> 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 — Текст : электронный // Образовательная платформа Юрайт [сайт]. — URL: </w:t>
      </w:r>
      <w:hyperlink r:id="rId12" w:history="1">
        <w:r>
          <w:rPr>
            <w:i w:val="1"/>
            <w:iCs w:val="1"/>
          </w:rPr>
          <w:t xml:space="preserve">https://urait.ru/bcode/558681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7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0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7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7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52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5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C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4F6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Relationship Id="rId8" Type="http://schemas.openxmlformats.org/officeDocument/2006/relationships/hyperlink" Target="https://urait.ru/bcode/541619" TargetMode="External"/><Relationship Id="rId9" Type="http://schemas.openxmlformats.org/officeDocument/2006/relationships/hyperlink" Target="https://urait.ru/bcode/534202" TargetMode="External"/><Relationship Id="rId10" Type="http://schemas.openxmlformats.org/officeDocument/2006/relationships/hyperlink" Target="https://urait.ru/bcode/537442" TargetMode="External"/><Relationship Id="rId11" Type="http://schemas.openxmlformats.org/officeDocument/2006/relationships/hyperlink" Target="https://urait.ru/bcode/536359" TargetMode="External"/><Relationship Id="rId12" Type="http://schemas.openxmlformats.org/officeDocument/2006/relationships/hyperlink" Target="https://urait.ru/bcode/55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