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ведущий научный сотрудник, Научно-исследовательский центр криминологического мониторинга; и.о. заведующего кафедрой, кафедра уголовного права и процесса, кандидат юридических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Практика по получению первичных профессиональных умений и навыков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numPr>
          <w:ilvl w:val="0"/>
          <w:numId w:val="1"/>
        </w:numPr>
      </w:pPr>
      <w:r>
        <w:rPr/>
        <w:t xml:space="preserve">Закрепление теоретических знаний и получение обучающимися теоретических и практических знаний в сфере профессиональной юридической деятельности;</w:t>
      </w:r>
    </w:p>
    <w:p>
      <w:pPr>
        <w:numPr>
          <w:ilvl w:val="0"/>
          <w:numId w:val="1"/>
        </w:numPr>
      </w:pPr>
      <w:r>
        <w:rPr/>
        <w:t xml:space="preserve">Формирование общекультурных, общепрофессиональных и профессиональных компетенций обучающихся в процессе выполнения определенных видов работ в сфере профессиональной юридической деятельности;</w:t>
      </w:r>
    </w:p>
    <w:p>
      <w:pPr>
        <w:numPr>
          <w:ilvl w:val="0"/>
          <w:numId w:val="1"/>
        </w:numPr>
      </w:pPr>
      <w:r>
        <w:rPr/>
        <w:t xml:space="preserve">Формирование у обучающихся первичных профессиональных умений и навыков.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2"/>
        </w:numPr>
      </w:pPr>
      <w:r>
        <w:rPr/>
        <w:t xml:space="preserve">формирование осознания значимости своей будущей профессии, достаточного уровня профессионального правосознания;</w:t>
      </w:r>
    </w:p>
    <w:p>
      <w:pPr>
        <w:numPr>
          <w:ilvl w:val="0"/>
          <w:numId w:val="2"/>
        </w:numPr>
      </w:pPr>
      <w:r>
        <w:rPr/>
        <w:t xml:space="preserve">формирование способности добросовестно исполнять профессиональные обязанности, соблюдать принципы этики юриста;</w:t>
      </w:r>
    </w:p>
    <w:p>
      <w:pPr>
        <w:numPr>
          <w:ilvl w:val="0"/>
          <w:numId w:val="2"/>
        </w:numPr>
      </w:pPr>
      <w:r>
        <w:rPr/>
        <w:t xml:space="preserve">приобретение опыта работы в трудовых коллективах при решении производственно-правовых вопросов;</w:t>
      </w:r>
    </w:p>
    <w:p>
      <w:pPr>
        <w:numPr>
          <w:ilvl w:val="0"/>
          <w:numId w:val="2"/>
        </w:numPr>
      </w:pPr>
      <w:r>
        <w:rPr/>
        <w:t xml:space="preserve">закрепление теоретических знаний, полученных при изучении базовых дисциплин;</w:t>
      </w:r>
    </w:p>
    <w:p>
      <w:pPr>
        <w:numPr>
          <w:ilvl w:val="0"/>
          <w:numId w:val="2"/>
        </w:numPr>
      </w:pPr>
      <w:r>
        <w:rPr/>
        <w:t xml:space="preserve">усвоение навыков поиска, обработки и использования информации при решении вопросов, возникающих при осуществлении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изучение нормативно-правовой базы организации, организационной структуры организации и действующей в ней системы управления, освоение приемов, методов и способов осуществления юридических действий в организации;</w:t>
      </w:r>
    </w:p>
    <w:p>
      <w:pPr>
        <w:numPr>
          <w:ilvl w:val="0"/>
          <w:numId w:val="2"/>
        </w:numPr>
      </w:pPr>
      <w:r>
        <w:rPr/>
        <w:t xml:space="preserve">получение первичных профессиональных умений и навыков, изучение и участие в разработке нормативных правовых документов для решения отдельных задач по месту прохождения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Стационарная практика проводится в структурных подразделениях ПетрГУ или в профильных организациях, расположенных в г. Петрозаводске. Возможные места ее проведения:</w:t>
      </w:r>
    </w:p>
    <w:p>
      <w:pPr>
        <w:numPr>
          <w:ilvl w:val="0"/>
          <w:numId w:val="3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3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3"/>
        </w:numPr>
      </w:pPr>
      <w:r>
        <w:rPr/>
        <w:t xml:space="preserve">органы предварительного расследования: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Петрозаводску;</w:t>
      </w:r>
    </w:p>
    <w:p>
      <w:pPr>
        <w:numPr>
          <w:ilvl w:val="0"/>
          <w:numId w:val="3"/>
        </w:numPr>
      </w:pPr>
      <w:r>
        <w:rPr/>
        <w:t xml:space="preserve">иные ведомства/организации по согласованию с научным руководителем и дирекцией института экономики и права ПетрГУ.</w:t>
      </w:r>
    </w:p>
    <w:p>
      <w:pPr/>
      <w:r>
        <w:rPr/>
        <w:t xml:space="preserve"> Выездная практика проводится вне г. Петрозаводска. Возможные места ее проведения:</w:t>
      </w:r>
    </w:p>
    <w:p>
      <w:pPr>
        <w:numPr>
          <w:ilvl w:val="0"/>
          <w:numId w:val="4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 и других регионов РФ;</w:t>
      </w:r>
    </w:p>
    <w:p>
      <w:pPr>
        <w:numPr>
          <w:ilvl w:val="0"/>
          <w:numId w:val="4"/>
        </w:numPr>
      </w:pPr>
      <w:r>
        <w:rPr/>
        <w:t xml:space="preserve">следственные органы и органы внутренних дел в районах и городах Республики Карелия, а также других регионов РФ.</w:t>
      </w:r>
    </w:p>
    <w:p>
      <w:pPr>
        <w:numPr>
          <w:ilvl w:val="0"/>
          <w:numId w:val="4"/>
        </w:numPr>
      </w:pPr>
      <w:r>
        <w:rPr/>
        <w:t xml:space="preserve">иные ведомства/организации по согласованию с научным руководителем и дирекцией института экономики и права ПетрГУ.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проблемную ситуацию как систему, выявляя ее составляющие и связи между ними.
УК-1.2. Определяет пробелы в информации, необходимой для решения проблемной ситуации, и проектирует процессы по их устранению.
УК-1.3. Критически оценивает надежность источников информации, работает с противоречивой информацией из разных источников.
УК-1.4. Разрабатывает и содержательно аргументирует стратегию решения проблемной ситуации на основе системного и междисциплинарных подходов.
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Формулирование цели, задач, значимости, ожидаемых результатов проекта.
УК-2.2. Определение потребности в ресурсах для реализации проекта.
УК-2.3. Разработка плана реализации проекта.
УК-2.4. Контроль реализации проекта.
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Разработка целей команды в соответствии с целями проекта (организации)
УК-3.2. Формирование состава команды, определение функциональных и ролевых критериев отбора участников
УК-3.3. Разработка и корректировка плана работы команды
УК-3.4. Выбор правил командной работы как основы межличностного взаимодействия
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
УК-3.6. Выбор стиля управления работой команды в соответствии с ситуацией
УК-3.7. Презентация результатов собственной и командной деятельности
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Поиск источников информации на русском и иностранном языках
УК-4.2. Использование информационно-коммуникационных технологий для поиска, обработки и представления информации
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
УК-4.4. Выбор психологических способов оказания влияния и противодействия влиянию в процессе академического и профессионального взаимодействия
УК-4.5. Представление результатов академической и профессиональной деятельности на публичных мероприятиях
УК-4.6. Ведение академической и профессиональной дискуссии на государственном языке РФ и/или иностранном языке
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
УК-5.2. Выбор способов интеграции работников, принадлежащих к разным культурам, в производственную команду
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
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
УК-6.2. Определение приоритетов собственной деятельности, личностного развития и профессионального роста
УК-6.3. Выбор технологий целеполагания и целедостижения для постановки целей личностного развития и профессионального роста
УК-6.4. Оценка собственных (личностных, ситуативных, временных) ресурсов, выбор способов преодоления личностных ограничений на пути достижения целей
УК-6.5. Оценка требований рынка труда и образовательных услуг для выстраивания траектории собственного профессионального роста
УК-6.6. Оценка собственного ресурсного состояния, выбор средств коррекции ресурсного состояния
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
ПК-7.2. Умеет правильно проводить и оформлять  результаты научных исследований в различных отраслях права;
ПК-7.3. Владеет навыками квалифицированно проводить научные исследования в различных отраслях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специфику правового регулирования и правоприменительной практики в конкретных сферах юридической деятельности;
ПК-2.2. Применяет нормативные правовые акты в конкретных сферах юридической деятельности;
ПК-2.3. Реализует нормы материального и процессуального права в профессиональной деятельности;
ПК-2.4. Владеет навыками квалифицированного применения нормативных правовых актов в конкретных сферах юридической деятельности;
ПК-2.5. Владеет навыками реализации норм материального и процессуального права в профессиональной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"Учебная практика"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1, 2, 3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23 зач. ед.</w:t>
      </w:r>
      <w:br/>
      <w:r>
        <w:rPr/>
        <w:t xml:space="preserve">Продолжительность практики 15.3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практика(экзамен).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(научным руководителем магистранта по подготовке магистерской диссертации) по вопросам программы и получения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индивидуальных заданий на местах практики, выданных руководителем практики от образовательной организации (научным руководителем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практики, предоставление отчетной документации руководителю практики от образовательной организации (научному руководителю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(научным руководителем магистранта по подготовке магистерской диссертации) по вопросам программы и получения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индивидуальных заданий на местах практики, выданных руководителем практики от образовательной организации (научным руководителем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практики, предоставление отчетной документации руководителю практики от образовательной организации (научному руководителю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(научным руководителем магистранта по подготовке магистерской диссертации) по вопросам программы и получения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индивидуальных заданий на местах практики, выданных руководителем практики от образовательной организации (научным руководителем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практики, предоставление отчетной документации руководителю практики от образовательной организации (научному руководителю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производственной практики могут быть применены следующие образовательные технологии:</w:t>
      </w:r>
    </w:p>
    <w:p>
      <w:pPr>
        <w:numPr>
          <w:ilvl w:val="0"/>
          <w:numId w:val="5"/>
        </w:numPr>
      </w:pPr>
      <w:r>
        <w:rPr/>
        <w:t xml:space="preserve">составление таблиц и схем;</w:t>
      </w:r>
    </w:p>
    <w:p>
      <w:pPr>
        <w:numPr>
          <w:ilvl w:val="0"/>
          <w:numId w:val="5"/>
        </w:numPr>
      </w:pPr>
      <w:r>
        <w:rPr/>
        <w:t xml:space="preserve">встречи с представителями государственных органов и органов местного самоуправления, общественных объединений.</w:t>
      </w:r>
    </w:p>
    <w:p>
      <w:pPr/>
      <w:r>
        <w:rPr/>
        <w:t xml:space="preserve">научно-исследовательские технологии:</w:t>
      </w:r>
    </w:p>
    <w:p>
      <w:pPr>
        <w:numPr>
          <w:ilvl w:val="0"/>
          <w:numId w:val="6"/>
        </w:numPr>
      </w:pPr>
      <w:r>
        <w:rPr/>
        <w:t xml:space="preserve">подготовка обзора нормативно-правовых актов и научной литературы, презентация, «мини-конференция», «круглый стол».</w:t>
      </w:r>
    </w:p>
    <w:p>
      <w:pPr/>
      <w:r>
        <w:rPr/>
        <w:t xml:space="preserve">научно-производственные технологии:</w:t>
      </w:r>
    </w:p>
    <w:p>
      <w:pPr>
        <w:numPr>
          <w:ilvl w:val="0"/>
          <w:numId w:val="7"/>
        </w:numPr>
      </w:pPr>
      <w:r>
        <w:rPr/>
        <w:t xml:space="preserve">составление юридического документа,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Для аттестации по итогам учебной практики необходимо предоставить:</w:t>
      </w:r>
    </w:p>
    <w:p>
      <w:pPr>
        <w:numPr>
          <w:ilvl w:val="0"/>
          <w:numId w:val="8"/>
        </w:numPr>
      </w:pPr>
      <w:r>
        <w:rPr/>
        <w:t xml:space="preserve">Отчет о прохождении практики по установленной форме: титульный лист, текст отчета (начинается со следующей страницы и пишется от первого лица), приложения (если имеются).</w:t>
      </w:r>
    </w:p>
    <w:p>
      <w:pPr/>
      <w:r>
        <w:rPr/>
        <w:t xml:space="preserve">В тексте отчета обучающийся также должен отразить выполнение индивидуальных заданий во время прохождения практики (составление юридических процессуальных документов, таблиц, схем и др.), которые оформляются Приложениями к отчету (каждое Приложение оформляется с новой страницы и последующей нумерацией - Приложение 1, Приложение 2, Приложение 3 и т.д.). В тексте отчета они также называются и комментируются с пометкой в скобках (н-р: Приложение № 1, Приложение № 2, Приложение № 3 и т.д.)</w:t>
      </w:r>
    </w:p>
    <w:p>
      <w:pPr>
        <w:numPr>
          <w:ilvl w:val="0"/>
          <w:numId w:val="9"/>
        </w:numPr>
      </w:pPr>
      <w:r>
        <w:rPr/>
        <w:t xml:space="preserve">Дневник по установленной форме.</w:t>
      </w:r>
    </w:p>
    <w:p>
      <w:pPr>
        <w:numPr>
          <w:ilvl w:val="0"/>
          <w:numId w:val="9"/>
        </w:numPr>
      </w:pPr>
      <w:r>
        <w:rPr/>
        <w:t xml:space="preserve">Характеристика.</w:t>
      </w:r>
    </w:p>
    <w:p>
      <w:pPr/>
      <w:r>
        <w:rPr/>
        <w:t xml:space="preserve"> Обучающимся необходимо:</w:t>
      </w:r>
    </w:p>
    <w:p>
      <w:pPr>
        <w:numPr>
          <w:ilvl w:val="0"/>
          <w:numId w:val="10"/>
        </w:numPr>
      </w:pPr>
      <w:r>
        <w:rPr/>
        <w:t xml:space="preserve">соблюдать при подготовке отчетов и дневников установленные формы;</w:t>
      </w:r>
    </w:p>
    <w:p>
      <w:pPr>
        <w:numPr>
          <w:ilvl w:val="0"/>
          <w:numId w:val="10"/>
        </w:numPr>
      </w:pPr>
      <w:r>
        <w:rPr/>
        <w:t xml:space="preserve">после аттестации размещать отчетные документы по практике в электронном Портфолио обучающегося в виде файлов титульного листа отчета, отчета с приложениями (если имеются), скан-копий дневника и характеристики.</w:t>
      </w:r>
    </w:p>
    <w:p>
      <w:pPr/>
      <w:r>
        <w:rPr/>
        <w:t xml:space="preserve">Руководитель практики от образовательной организации (научный руководитель магистранта по подготовке магистерской диссертации) самостоятельно определяет программу прохождения учебной практики, исходя из тематики магистерской диссертации.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индивидуальное задание для проведения практики.; дневник.; отчет о прохождении практики.; характеристика..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Индивидуальное задание для проведения практики.</w:t>
      </w:r>
    </w:p>
    <w:p>
      <w:pPr/>
      <w:r>
        <w:rPr/>
        <w:t xml:space="preserve">Перечень индивидуальных заданий для проведения практики определяется руководителем практики от образовательной организации (научным руководителем магистранта по подготовке магистерской диссертации), исходя из тематики выпускной квалификационной работы.</w:t>
      </w:r>
    </w:p>
    <w:p>
      <w:pPr/>
      <w:r>
        <w:rPr/>
        <w:t xml:space="preserve">Например, это может быть подбор, изучение и анализ научной литературы по тематике работы, изучение нормативно-правовой базы, необходимой для написания выпускной квалификационной работы, изучение и анализ следственной и судебной практики, подбор необходимой для исследования статистики и составление диаграмм/таблиц на основе изученных статистических данных и так далее.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Дневник.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 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организации/ведомства.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практики.</w:t>
      </w:r>
    </w:p>
    <w:p>
      <w:pPr/>
      <w:r>
        <w:rPr>
          <w:b w:val="1"/>
          <w:bCs w:val="1"/>
        </w:rPr>
        <w:t xml:space="preserve">Требования к оформлению отчета:</w:t>
      </w:r>
    </w:p>
    <w:p>
      <w:pPr>
        <w:numPr>
          <w:ilvl w:val="0"/>
          <w:numId w:val="11"/>
        </w:numPr>
      </w:pPr>
      <w:r>
        <w:rPr/>
        <w:t xml:space="preserve">объем – не менее 4-х стр. А4 основного текста (не включая титульный лист) + Приложения 3-5 стр. А4 (при наличии);</w:t>
      </w:r>
    </w:p>
    <w:p>
      <w:pPr>
        <w:numPr>
          <w:ilvl w:val="0"/>
          <w:numId w:val="11"/>
        </w:numPr>
      </w:pPr>
      <w:r>
        <w:rPr/>
        <w:t xml:space="preserve">поля: левое — 20 мм; правое — 10 мм; верхнее — 20 мм; нижнее — 20 мм.</w:t>
      </w:r>
    </w:p>
    <w:p>
      <w:pPr>
        <w:numPr>
          <w:ilvl w:val="0"/>
          <w:numId w:val="11"/>
        </w:numPr>
      </w:pPr>
      <w:r>
        <w:rPr/>
        <w:t xml:space="preserve">шрифт «Times New Roman», размер - 14, полуторный интервал.</w:t>
      </w:r>
    </w:p>
    <w:p>
      <w:pPr/>
      <w:r>
        <w:rPr>
          <w:b w:val="1"/>
          <w:bCs w:val="1"/>
        </w:rPr>
        <w:t xml:space="preserve">План отчета:</w:t>
      </w:r>
    </w:p>
    <w:p>
      <w:pPr/>
      <w:r>
        <w:rPr/>
        <w:t xml:space="preserve">По окончании практики обучающиеся на основании дневника и других материалов составляют отчет о работе, проведенной в период практики. Отчет по своему содержанию отличается от дневника, не должен его повторять. Если в дневнике перечисляются различные виды работ, ежедневно проводимые практикантами, то отчет должен отражать и обстоятельные выводы практиканта о проделанной работе. Отчет об учебной практике является основным документом, характеризующим и подтверждающим прохождение обучающимся практики, в котором отражается его текущая работа в процессе ее прохождения.</w:t>
      </w:r>
    </w:p>
    <w:p>
      <w:pPr/>
      <w:r>
        <w:rPr>
          <w:b w:val="1"/>
          <w:bCs w:val="1"/>
        </w:rPr>
        <w:t xml:space="preserve">Примерное содержание отчета:</w:t>
      </w:r>
    </w:p>
    <w:p>
      <w:pPr>
        <w:numPr>
          <w:ilvl w:val="0"/>
          <w:numId w:val="12"/>
        </w:numPr>
      </w:pPr>
      <w:r>
        <w:rPr/>
        <w:t xml:space="preserve">общая характеристика места прохождения практики;</w:t>
      </w:r>
    </w:p>
    <w:p>
      <w:pPr>
        <w:numPr>
          <w:ilvl w:val="0"/>
          <w:numId w:val="12"/>
        </w:numPr>
      </w:pPr>
      <w:r>
        <w:rPr/>
        <w:t xml:space="preserve">содержание работы, проделанной на практике;</w:t>
      </w:r>
    </w:p>
    <w:p>
      <w:pPr>
        <w:numPr>
          <w:ilvl w:val="0"/>
          <w:numId w:val="12"/>
        </w:numPr>
      </w:pPr>
      <w:r>
        <w:rPr/>
        <w:t xml:space="preserve">полученные навыки и практические умения;</w:t>
      </w:r>
    </w:p>
    <w:p>
      <w:pPr>
        <w:numPr>
          <w:ilvl w:val="0"/>
          <w:numId w:val="12"/>
        </w:numPr>
      </w:pPr>
      <w:r>
        <w:rPr/>
        <w:t xml:space="preserve">степень выполнения программы практики;</w:t>
      </w:r>
    </w:p>
    <w:p>
      <w:pPr>
        <w:numPr>
          <w:ilvl w:val="0"/>
          <w:numId w:val="12"/>
        </w:numPr>
      </w:pPr>
      <w:r>
        <w:rPr/>
        <w:t xml:space="preserve">выводы о том, в какой мере практика способствовала закреплению и углублению теоретических знаний;</w:t>
      </w:r>
    </w:p>
    <w:p>
      <w:pPr>
        <w:numPr>
          <w:ilvl w:val="0"/>
          <w:numId w:val="12"/>
        </w:numPr>
      </w:pPr>
      <w:r>
        <w:rPr/>
        <w:t xml:space="preserve">с какими делами познакомился практикант, какие трудности возникли у него при прохождении практики.</w:t>
      </w:r>
    </w:p>
    <w:p>
      <w:pPr/>
      <w:r>
        <w:rPr/>
        <w:t xml:space="preserve">Отчет должен быть подписан практикантом на титульном листе и проставлена дата его исполнения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Характеристика.</w:t>
      </w:r>
    </w:p>
    <w:p>
      <w:pPr/>
      <w:r>
        <w:rPr/>
        <w:t xml:space="preserve">Характеристика должна обязательно содержать следующие данные:</w:t>
      </w:r>
    </w:p>
    <w:p>
      <w:pPr>
        <w:numPr>
          <w:ilvl w:val="0"/>
          <w:numId w:val="13"/>
        </w:numPr>
      </w:pPr>
      <w:r>
        <w:rPr/>
        <w:t xml:space="preserve">Ф.И.О. практиканта полностью, форма обучения, направление подготовки, курс;</w:t>
      </w:r>
    </w:p>
    <w:p>
      <w:pPr>
        <w:numPr>
          <w:ilvl w:val="0"/>
          <w:numId w:val="13"/>
        </w:numPr>
      </w:pPr>
      <w:r>
        <w:rPr/>
        <w:t xml:space="preserve">название организации – места практики;</w:t>
      </w:r>
    </w:p>
    <w:p>
      <w:pPr>
        <w:numPr>
          <w:ilvl w:val="0"/>
          <w:numId w:val="13"/>
        </w:numPr>
      </w:pPr>
      <w:r>
        <w:rPr/>
        <w:t xml:space="preserve">даты прохождения практики, с указанием даты начала и окончания практики; при наличии пропусков – указание причин;</w:t>
      </w:r>
    </w:p>
    <w:p>
      <w:pPr>
        <w:numPr>
          <w:ilvl w:val="0"/>
          <w:numId w:val="13"/>
        </w:numPr>
      </w:pPr>
      <w:r>
        <w:rPr/>
        <w:t xml:space="preserve">о выполнении программы, выданной руководителем практики от образовательной организации (научным руководителем магистранта при подготовке магистерской диссертации);</w:t>
      </w:r>
    </w:p>
    <w:p>
      <w:pPr>
        <w:numPr>
          <w:ilvl w:val="0"/>
          <w:numId w:val="13"/>
        </w:numPr>
      </w:pPr>
      <w:r>
        <w:rPr/>
        <w:t xml:space="preserve">об отношении практиканта к работе, с оценкой его умения применять теоретические знания на практике.</w:t>
      </w:r>
    </w:p>
    <w:p>
      <w:pPr/>
      <w:r>
        <w:rPr/>
        <w:t xml:space="preserve">Характеристика подписывается руководителем организации (с указанием должности и звания), в котором она проводилась. Заверяется гербовой печатью или печатью организации.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практика(экзамен),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Результаты прохождения учебной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руководителя практики от образовательной организации (научного руководителя магистранта по подготовке магистерской диссертации).</w:t>
      </w:r>
    </w:p>
    <w:p>
      <w:pPr/>
      <w:r>
        <w:rPr/>
        <w:t xml:space="preserve">При оценке итогов прохождения учебной практики руководителем практики от образовательной организации принимается во внимание содержание представленной обучающимся характеристики, в частности, рекомендуемая в характеристике оценка за практику руководителем принимающей организации/ведомства, но не является обязательной к исполнению. Решение о том, зачтена учебная практика или не зачтена принимает руководитель практики от образовательной организации (научный руководитель магистранта по подготовке магистерской диссертации) на основании проработанности выданных индивидуальных заданий.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Экзамен</w:t>
      </w:r>
    </w:p>
    <w:p>
      <w:pPr/>
      <w:r>
        <w:rPr/>
        <w:t xml:space="preserve">Результаты прохождения учебной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руководителя практики от образовательной организации (научного руководителя магистранта по подготовке магистерской диссертации).</w:t>
      </w:r>
    </w:p>
    <w:p>
      <w:pPr/>
      <w:r>
        <w:rPr/>
        <w:t xml:space="preserve">При оценке итогов прохождения учебной практики руководителем практики от образовательной организации принимается во внимание содержание представленной обучающимся характеристики, в частности, рекомендуемая в характеристике оценка за практику руководителем принимающей организации/ведомства, но не является обязательной к исполнению. Решение об оценке, выставляемой за прохождение учебной практики, принимает руководитель практики от образовательной организации (научный руководитель магистранта по подготовке магистерской диссертации) на основании проработанности выданных индивидуальных заданий.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4"/>
        </w:numPr>
      </w:pPr>
      <w:r>
        <w:rPr/>
        <w:t xml:space="preserve">Уголовное право. Общая часть. В 2 т. Том 1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299 с. — (Высшее образование). — ISBN 978-5-534-12766-9.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https://urait.ru/bcode/470468</w:t>
        </w:r>
      </w:hyperlink>
    </w:p>
    <w:p>
      <w:pPr>
        <w:numPr>
          <w:ilvl w:val="0"/>
          <w:numId w:val="14"/>
        </w:numPr>
      </w:pPr>
      <w:r>
        <w:rPr/>
        <w:t xml:space="preserve">Уголовное право. Общая часть. В 2 т. Том 2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280 с. — (Высшее образование). — ISBN 978-5-534-12767-6.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https://urait.ru/bcode/470469</w:t>
        </w:r>
      </w:hyperlink>
      <w:r>
        <w:rPr/>
        <w:t xml:space="preserve"> 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Францифоров, Ю. В. </w:t>
      </w:r>
      <w:r>
        <w:rPr/>
        <w:t xml:space="preserve"> Уголовный процесс : учебник и практикум для вузов / Ю. В. Францифоров, Н. С. Манова, А. Ю. Францифоров. — 6-е изд., перераб. и доп. — Москва : Издательство Юрайт, 2021. — 403 с. — (Высшее образование). — ISBN 978-5-534-13800-9.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https://urait.ru/bcode/468905</w:t>
        </w:r>
      </w:hyperlink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Правоохранительные органы : учебник и практикум для вузов / М. П. Поляков [и др.] ; под общей редакцией М. П. Полякова. — Москва : Издательство Юрайт, 2022. — 362 с. — (Высшее образование). — ISBN 978-5-9916-7897-1.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https://urait.ru/bcode/488358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5"/>
        </w:numPr>
      </w:pPr>
      <w:r>
        <w:rPr/>
        <w:t xml:space="preserve">Луковников, Г. Д. </w:t>
      </w:r>
      <w:r>
        <w:rPr/>
        <w:t xml:space="preserve"> Следственные действия и оперативно-розыскные мероприятия : учебное пособие для вузов / Г. Д. Луковников. — 2-е изд. — Москва : Издательство Юрайт, 2022. — 290 с. — (Высшее образование). — ISBN 978-5-534-13102-4.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https://urait.ru/bcode/495480</w:t>
        </w:r>
      </w:hyperlink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Уголовно-процессуальное право Российской Федерации в 2 ч. Часть 1 : учебник для вузов / Г. М. Резник [и др.] ; под общей редакцией Г. М. Резника. — 3-е изд., перераб. и доп. — Москва : Издательство Юрайт, 2021. — 457 с. — (Высшее образование). — ISBN 978-5-534-12202-2.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https://urait.ru/bcode/470369</w:t>
        </w:r>
      </w:hyperlink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Уголовно-процессуальное право Российской Федерации в 2 ч. Часть 2 : учебник для вузов / Г. М. Резник [и др.] ; ответственный редактор Г. М. Резник. — 3-е изд., перераб. и доп. — Москва : Издательство Юрайт, 2021. — 519 с. — (Высшее образование). — ISBN 978-5-534-12205-3.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https://urait.ru/bcode/470370</w:t>
        </w:r>
      </w:hyperlink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Электронный  каталог  Научной библиотеки ПетрГУ </w:t>
      </w:r>
      <w:hyperlink r:id="rId14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16"/>
        </w:numPr>
      </w:pPr>
      <w:r>
        <w:rPr/>
        <w:t xml:space="preserve">Электронной библиотеки Республики Карелия </w:t>
      </w:r>
      <w:hyperlink r:id="rId15" w:history="1">
        <w:r>
          <w:rPr/>
          <w:t xml:space="preserve">http://elibrary.karelia.ru/</w:t>
        </w:r>
      </w:hyperlink>
    </w:p>
    <w:p>
      <w:pPr>
        <w:numPr>
          <w:ilvl w:val="0"/>
          <w:numId w:val="16"/>
        </w:numPr>
      </w:pPr>
      <w:r>
        <w:rPr/>
        <w:t xml:space="preserve">Образовательная платформа "Юрайт" </w:t>
      </w:r>
      <w:hyperlink r:id="rId16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7" w:history="1">
        <w:r>
          <w:rPr/>
          <w:t xml:space="preserve">http://www.studentlibrary.ru</w:t>
        </w:r>
      </w:hyperlink>
    </w:p>
    <w:p>
      <w:pPr>
        <w:numPr>
          <w:ilvl w:val="0"/>
          <w:numId w:val="16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18" w:history="1">
        <w:r>
          <w:rPr/>
          <w:t xml:space="preserve">http://library.petrsu.ru/collections/bd.shtml   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526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6E0D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BA0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6D6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11A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129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CF9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FE7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96FE6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D09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2AA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377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2EE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61A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9AC5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2CE9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70468" TargetMode="External"/><Relationship Id="rId8" Type="http://schemas.openxmlformats.org/officeDocument/2006/relationships/hyperlink" Target="https://urait.ru/bcode/470469" TargetMode="External"/><Relationship Id="rId9" Type="http://schemas.openxmlformats.org/officeDocument/2006/relationships/hyperlink" Target="https://urait.ru/bcode/468905" TargetMode="External"/><Relationship Id="rId10" Type="http://schemas.openxmlformats.org/officeDocument/2006/relationships/hyperlink" Target="https://urait.ru/bcode/488358" TargetMode="External"/><Relationship Id="rId11" Type="http://schemas.openxmlformats.org/officeDocument/2006/relationships/hyperlink" Target="https://urait.ru/bcode/495480" TargetMode="External"/><Relationship Id="rId12" Type="http://schemas.openxmlformats.org/officeDocument/2006/relationships/hyperlink" Target="https://urait.ru/bcode/470369" TargetMode="External"/><Relationship Id="rId13" Type="http://schemas.openxmlformats.org/officeDocument/2006/relationships/hyperlink" Target="https://urait.ru/bcode/470370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http://elibrary.karelia.ru/" TargetMode="External"/><Relationship Id="rId16" Type="http://schemas.openxmlformats.org/officeDocument/2006/relationships/hyperlink" Target="https://urait.ru/" TargetMode="External"/><Relationship Id="rId17" Type="http://schemas.openxmlformats.org/officeDocument/2006/relationships/hyperlink" Target="http://www.studentlibrary.ru" TargetMode="External"/><Relationship Id="rId18" Type="http://schemas.openxmlformats.org/officeDocument/2006/relationships/hyperlink" Target="http://library.petrsu.ru/collections/bd.shtml" TargetMode="External"/><Relationship Id="rId1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2026-04-21T11:17:33+03:00</dcterms:created>
  <dcterms:modified xsi:type="dcterms:W3CDTF">2026-04-21T11:17:33+03:00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