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Теория и практика судебной экспертизы (О), Преддипломная практика (И), Подготовка к процедуре защиты и защита ВКР (И), Актуальные проблемы уголовного права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Изучение судебной практики по уголовным делам и составление процессуальных документов (О), Актуальные вопросы теории и практики организации работы следователя (И), Теория и практика доказывания по уголовным делам (О), Преддипломная практика (И), Подготовка к процедуре защиты и защита ВКР (И), Актуальные проблемы уголовного права (особенная часть) (Н), Актуальные проблемы уголовного процесса (особенная часть)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Понятие и признаки состава преступления (О), Изучение судебной практики по уголовным делам и составление процессуальных документов (О), Актуальные проблемы уголовного права (общая часть) (Н), Преддипломная практика (И), Подготовка к процедуре защиты и защита ВКР (И), Актуальные проблемы уголовного права (особенная часть)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Квалификация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и некоторые специальные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Правила квалификации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преступлений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</w:t>
      </w:r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Примерные тестовые задания:</w:t>
      </w:r>
      <w:r>
        <w:rPr/>
        <w:t xml:space="preserve"> </w:t>
      </w:r>
    </w:p>
    <w:p>
      <w:pPr/>
      <w:r>
        <w:rPr/>
        <w:t xml:space="preserve">Уголовное право. Особенная часть. Практикум : учебное пособие для вузов / И. А. Подройкина [и др.] ; ответственный редактор И. А. Подройкина. — 3-е изд., перераб. и доп. — Москва : Издательство Юрайт, 2025. — 515 с. — (Высшее образование). — ISBN 978-5-534-20511-4.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https://urait.ru/bcode/558285</w:t>
        </w:r>
      </w:hyperlink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с/к «Актуальные проблемы уголовного права. Особенная часть»</w:t>
      </w:r>
    </w:p>
    <w:p>
      <w:pPr>
        <w:numPr>
          <w:ilvl w:val="0"/>
          <w:numId w:val="1"/>
        </w:numPr>
      </w:pPr>
      <w:r>
        <w:rPr/>
        <w:t xml:space="preserve">Понятие квалификации преступлений. Правила квалификации преступлений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объективной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Квалификация по признакам субъекта преступления.</w:t>
      </w:r>
    </w:p>
    <w:p>
      <w:pPr>
        <w:numPr>
          <w:ilvl w:val="0"/>
          <w:numId w:val="1"/>
        </w:numPr>
      </w:pPr>
      <w:r>
        <w:rPr/>
        <w:t xml:space="preserve">Квалификация</w:t>
      </w:r>
    </w:p>
    <w:p>
      <w:pPr>
        <w:numPr>
          <w:ilvl w:val="0"/>
          <w:numId w:val="1"/>
        </w:numPr>
      </w:pPr>
      <w:r>
        <w:rPr/>
        <w:t xml:space="preserve">по признакам субъективной стороны преступления</w:t>
      </w:r>
    </w:p>
    <w:p>
      <w:pPr>
        <w:numPr>
          <w:ilvl w:val="0"/>
          <w:numId w:val="1"/>
        </w:numPr>
      </w:pPr>
      <w:r>
        <w:rPr/>
        <w:t xml:space="preserve">Конкуренция уголовно-правовых норм и ее влияние на квалификацию преступлений</w:t>
      </w:r>
    </w:p>
    <w:p>
      <w:pPr>
        <w:numPr>
          <w:ilvl w:val="0"/>
          <w:numId w:val="1"/>
        </w:numPr>
      </w:pPr>
      <w:r>
        <w:rPr/>
        <w:t xml:space="preserve">Правила квалификации при наличии юридической или фактической ошибки</w:t>
      </w:r>
    </w:p>
    <w:p>
      <w:pPr>
        <w:numPr>
          <w:ilvl w:val="0"/>
          <w:numId w:val="1"/>
        </w:numPr>
      </w:pPr>
      <w:r>
        <w:rPr/>
        <w:t xml:space="preserve">Организация незаконного вооруженного формирования или участия в нем</w:t>
      </w:r>
    </w:p>
    <w:p>
      <w:pPr>
        <w:numPr>
          <w:ilvl w:val="0"/>
          <w:numId w:val="1"/>
        </w:numPr>
      </w:pPr>
      <w:r>
        <w:rPr/>
        <w:t xml:space="preserve">Бандитизм. Отличие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</w:t>
      </w:r>
    </w:p>
    <w:p>
      <w:pPr>
        <w:numPr>
          <w:ilvl w:val="0"/>
          <w:numId w:val="1"/>
        </w:numPr>
      </w:pPr>
      <w:r>
        <w:rPr/>
        <w:t xml:space="preserve">Занятие высшего положения в преступной иерархии</w:t>
      </w:r>
    </w:p>
    <w:p>
      <w:pPr>
        <w:numPr>
          <w:ilvl w:val="0"/>
          <w:numId w:val="1"/>
        </w:numPr>
      </w:pPr>
      <w:r>
        <w:rPr/>
        <w:t xml:space="preserve">Хулиганство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оружия, основных частей огнестрельного оружия, боеприпасов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взрывчатых веществ или взрывных устройств</w:t>
      </w:r>
    </w:p>
    <w:p>
      <w:pPr>
        <w:numPr>
          <w:ilvl w:val="0"/>
          <w:numId w:val="1"/>
        </w:numPr>
      </w:pPr>
      <w:r>
        <w:rPr/>
        <w:t xml:space="preserve">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>
      <w:pPr>
        <w:numPr>
          <w:ilvl w:val="0"/>
          <w:numId w:val="1"/>
        </w:numPr>
      </w:pPr>
      <w:r>
        <w:rPr/>
        <w:t xml:space="preserve">Незаконные приобретение, передача, сбыт, хранение, перевозка, пересылка или ношение крупнокалиберного огнестрельного оружия, его основных частей и боеприпасов к нему</w:t>
      </w:r>
    </w:p>
    <w:p>
      <w:pPr>
        <w:numPr>
          <w:ilvl w:val="0"/>
          <w:numId w:val="1"/>
        </w:numPr>
      </w:pPr>
      <w:r>
        <w:rPr/>
        <w:t xml:space="preserve">Злоупотребление должностными полномочиями.</w:t>
      </w:r>
    </w:p>
    <w:p>
      <w:pPr>
        <w:numPr>
          <w:ilvl w:val="0"/>
          <w:numId w:val="1"/>
        </w:numPr>
      </w:pPr>
      <w:r>
        <w:rPr/>
        <w:t xml:space="preserve">Превышение должностных полномочий. Отграничение от злоупотребления должностными полномочиями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2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2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2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2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2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2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3"/>
        </w:numPr>
      </w:pPr>
      <w:r>
        <w:rPr/>
        <w:t xml:space="preserve">цель и содержание задания;</w:t>
      </w:r>
    </w:p>
    <w:p>
      <w:pPr>
        <w:numPr>
          <w:ilvl w:val="0"/>
          <w:numId w:val="3"/>
        </w:numPr>
      </w:pPr>
      <w:r>
        <w:rPr/>
        <w:t xml:space="preserve">сроки выполнения;</w:t>
      </w:r>
    </w:p>
    <w:p>
      <w:pPr>
        <w:numPr>
          <w:ilvl w:val="0"/>
          <w:numId w:val="3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3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3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4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4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4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4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4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4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5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5"/>
        </w:numPr>
      </w:pPr>
      <w:r>
        <w:rPr/>
        <w:t xml:space="preserve">участие в дискуссиях;</w:t>
      </w:r>
    </w:p>
    <w:p>
      <w:pPr>
        <w:numPr>
          <w:ilvl w:val="0"/>
          <w:numId w:val="5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6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8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9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Иногамова-Хегай Л.В. Актуальные проблемы уголовного права. Часть Особенная — М.: Проспект, 2016 - 224 с. URL: </w:t>
      </w:r>
      <w:hyperlink r:id="rId10" w:history="1">
        <w:r>
          <w:rPr/>
          <w:t xml:space="preserve">http://www.studentlibrary.ru/book/ISBN9785392198962.html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Актуальные проблемы Особенной части уголовного права: учебник / Отв. ред. И.А. Подройкина, С.И. Улезько. - Москва: Проспект, 2022. - 768с.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 Далгалы, Т. А. Преступления против общественной безопасности. Криминологический, международный и сравнительно-правовой аспекты : учебное пособие для вузов / Т. А. Далгалы, Д. Ж. Гостькова. — Москва : Издательство Юрайт, 2023. — 166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государственной власти : учебное пособие для вузов / А. Г. Кибальник [и др.] ; ответственные редакторы А. Г. Кибальник, А. В. Наумов. — Москва : Издательство Юрайт, 2023. — 120 с. — (Высшее образование).</w:t>
      </w:r>
    </w:p>
    <w:p>
      <w:pPr>
        <w:numPr>
          <w:ilvl w:val="0"/>
          <w:numId w:val="7"/>
        </w:numPr>
      </w:pPr>
      <w:r>
        <w:rPr/>
        <w:t xml:space="preserve">Преступления против общественной безопасности и общественного порядка : учебное пособие для вузов / А. В. Наумов [и др.] ; ответственные редакторы А. В. Наумов, А. Г. Кибальник. — Москва : Издательство Юрайт, 2023. — 141 с. — (Высшее образование).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 : учебник для вузов / В. М. Алиев [и др.] ; под общей редакцией В. И. Гладких, А. К. Есаяна. — Москва : Издательство Юрайт, 2023. — 309 с. — (Высшее образование).</w:t>
      </w:r>
      <w:br/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В. М. Алиев [и др.] ; под общей редакцией В. И. Гладких, А. К. Есаяна. — 2-е изд., перераб. и доп. — Москва : Издательство Юрайт, 2024. — 312 с. — (Высшее образование). — ISBN 978-5-534-17502-8.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https://urait.ru/bcode/533203</w:t>
        </w:r>
      </w:hyperlink>
    </w:p>
    <w:p>
      <w:pPr>
        <w:numPr>
          <w:ilvl w:val="0"/>
          <w:numId w:val="7"/>
        </w:numPr>
      </w:pP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В. М. Алиев [и др.] ; под общей редакцией В. И. Гладких, А. К. Есаяна. — Москва : Издательство Юрайт, 2024. — 352 с. — (Высшее образование). — ISBN 978-5-534-13708-8.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https://urait.ru/bcode/543900</w:t>
        </w:r>
      </w:hyperlink>
    </w:p>
    <w:p>
      <w:pPr>
        <w:numPr>
          <w:ilvl w:val="0"/>
          <w:numId w:val="7"/>
        </w:numPr>
      </w:pPr>
      <w:r>
        <w:rPr/>
        <w:t xml:space="preserve">Лапатников М. В.  Преступления, связанные с незаконным оборотом наркотиков : учебное пособие для среднего профессионального образования / М. В. Лапатников, Т. А. Николаева, И. А. Казнина. — Москва : Издательство Юрайт, 2024. — 174 с. — (Профессиональное образование). — ISBN 978-5-534-12174-2.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https://urait.ru/bcode/542250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4. Особенная часть. Разделы X—XII / В. М. Лебедев [и др.] ; ответственный редактор В. М. Лебедев. — Москва : Издательство Юрайт, 2024. — 276 с. — (Профессиональные комментарии). — ISBN 978-5-534-04689-2.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https://urait.ru/bcode/539162</w:t>
        </w:r>
      </w:hyperlink>
    </w:p>
    <w:p>
      <w:pPr>
        <w:numPr>
          <w:ilvl w:val="0"/>
          <w:numId w:val="7"/>
        </w:numPr>
      </w:pPr>
      <w:r>
        <w:rPr/>
        <w:t xml:space="preserve">Комментарий к Уголовному кодексу РФ в 4 т. Том 3. Особенная часть. Раздел IX / В. М. Лебедев [и др.] ; ответственный редактор В. М. Лебедев. — Москва : Издательство Юрайт, 2024. — 298 с. — (Профессиональные комментарии). — ISBN 978-5-534-04688-5.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https://urait.ru/bcode/539161</w:t>
        </w:r>
      </w:hyperlink>
    </w:p>
    <w:p>
      <w:pPr>
        <w:numPr>
          <w:ilvl w:val="0"/>
          <w:numId w:val="7"/>
        </w:numPr>
      </w:pPr>
      <w:r>
        <w:rPr/>
        <w:t xml:space="preserve">Бавсун М. В.  Квалификация преступлений по признакам субъективной стороны : учебное пособие для вузов / М. В. Бавсун, С. В. Векленко. — 2-е изд., испр. и доп. — Москва : Издательство Юрайт, 2024. — 143 с. — (Высшее образование). — ISBN 978-5-534-18049-7.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https://urait.ru/bcode/534202</w:t>
        </w:r>
      </w:hyperlink>
    </w:p>
    <w:p>
      <w:pPr>
        <w:numPr>
          <w:ilvl w:val="0"/>
          <w:numId w:val="7"/>
        </w:numPr>
      </w:pPr>
      <w:r>
        <w:rPr/>
        <w:t xml:space="preserve">Сверчков В. В. Преступления против службы в органах власти, организациях, учреждениях : учебное пособие для вузов / В. В. Сверчков. — Москва : Издательство Юрайт, 2024. — 287 с. — (Высшее образование). — ISBN 978-5-534-18059-6.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https://urait.ru/bcode/545119</w:t>
        </w:r>
      </w:hyperlink>
    </w:p>
    <w:p>
      <w:pPr>
        <w:numPr>
          <w:ilvl w:val="0"/>
          <w:numId w:val="7"/>
        </w:numPr>
      </w:pPr>
      <w:r>
        <w:rPr/>
        <w:t xml:space="preserve">Боровских Р. Н</w:t>
      </w:r>
      <w:r>
        <w:rPr>
          <w:i w:val="1"/>
          <w:iCs w:val="1"/>
        </w:rPr>
        <w:t xml:space="preserve">. </w:t>
      </w:r>
      <w:r>
        <w:rPr/>
        <w:t xml:space="preserve"> Должностные преступления : учебное пособие для вузов / Р. Н. Боровских, А. В. Чумаков. — Москва : Издательство Юрайт, 2024. — 131 с. — (Высшее образование). — ISBN 978-5-534-14621-9.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https://urait.ru/bcode/544434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терроризму. Уголовно-правовой и криминологический аспекты : учебное пособие для вузов / Е. В. Фоменко, Ю. Н. Маторина. — 2-е изд. — Москва : Издательство Юрайт, 2024. — 186 с. — (Высшее образование). — ISBN 978-5-534-15527-3. — Текст : электронный // Образовательная платформа Юрайт [сайт]. — URL: </w:t>
      </w:r>
      <w:hyperlink r:id="rId19" w:history="1">
        <w:r>
          <w:rPr/>
          <w:t xml:space="preserve">https://urait.ru/bcode/542983</w:t>
        </w:r>
      </w:hyperlink>
    </w:p>
    <w:p>
      <w:pPr>
        <w:numPr>
          <w:ilvl w:val="0"/>
          <w:numId w:val="7"/>
        </w:numPr>
      </w:pPr>
      <w:r>
        <w:rPr/>
        <w:t xml:space="preserve">Фоменко Е. В. Правовые основы противодействия взяточничеству : учебное пособие для вузов / Е. В. Фоменко. — Москва : Издательство Юрайт, 2024. — 165 с. — (Высшее образование). — ISBN 978-5-534-20277-9. — Текст : электронный // Образовательная платформа Юрайт [сайт]. — URL: </w:t>
      </w:r>
      <w:hyperlink r:id="rId20" w:history="1">
        <w:r>
          <w:rPr/>
          <w:t xml:space="preserve">https://urait.ru/bcode/557891</w:t>
        </w:r>
      </w:hyperlink>
    </w:p>
    <w:p>
      <w:pPr>
        <w:numPr>
          <w:ilvl w:val="0"/>
          <w:numId w:val="7"/>
        </w:numPr>
      </w:pPr>
      <w:r>
        <w:rPr/>
        <w:t xml:space="preserve">Окутина Н. Н. Предупреждение коррупционной преступности : учебное пособие для вузов / Н. Н. Окутина. — 2-е изд., перераб. и доп. — Москва : Издательство Юрайт, 2024. — 296 с. — (Высшее образование). — ISBN 978-5-534-17387-1. — Текст : электронный // Образовательная платформа Юрайт [сайт]. — URL: </w:t>
      </w:r>
      <w:hyperlink r:id="rId21" w:history="1">
        <w:r>
          <w:rPr/>
          <w:t xml:space="preserve">https://urait.ru/bcode/532989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8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8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8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22" w:history="1">
        <w:r>
          <w:rPr/>
          <w:t xml:space="preserve">http://spsl.nsc.ru/win/navigatrn.html. </w:t>
        </w:r>
      </w:hyperlink>
    </w:p>
    <w:p>
      <w:pPr>
        <w:numPr>
          <w:ilvl w:val="0"/>
          <w:numId w:val="8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23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1B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D2A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A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87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79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46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8B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F12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22B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5" TargetMode="External"/><Relationship Id="rId8" Type="http://schemas.openxmlformats.org/officeDocument/2006/relationships/hyperlink" Target="https://urait.ru/bcode/449241" TargetMode="External"/><Relationship Id="rId9" Type="http://schemas.openxmlformats.org/officeDocument/2006/relationships/hyperlink" Target="https://urait.ru/bcode/449243" TargetMode="External"/><Relationship Id="rId10" Type="http://schemas.openxmlformats.org/officeDocument/2006/relationships/hyperlink" Target="http://www.studentlibrary.ru/book/ISBN9785392198962.html" TargetMode="External"/><Relationship Id="rId11" Type="http://schemas.openxmlformats.org/officeDocument/2006/relationships/hyperlink" Target="https://urait.ru/bcode/533203" TargetMode="External"/><Relationship Id="rId12" Type="http://schemas.openxmlformats.org/officeDocument/2006/relationships/hyperlink" Target="https://urait.ru/bcode/543900" TargetMode="External"/><Relationship Id="rId13" Type="http://schemas.openxmlformats.org/officeDocument/2006/relationships/hyperlink" Target="https://urait.ru/bcode/542250" TargetMode="External"/><Relationship Id="rId14" Type="http://schemas.openxmlformats.org/officeDocument/2006/relationships/hyperlink" Target="https://urait.ru/bcode/539162" TargetMode="External"/><Relationship Id="rId15" Type="http://schemas.openxmlformats.org/officeDocument/2006/relationships/hyperlink" Target="https://urait.ru/bcode/539161" TargetMode="External"/><Relationship Id="rId16" Type="http://schemas.openxmlformats.org/officeDocument/2006/relationships/hyperlink" Target="https://urait.ru/bcode/534202" TargetMode="External"/><Relationship Id="rId17" Type="http://schemas.openxmlformats.org/officeDocument/2006/relationships/hyperlink" Target="https://urait.ru/bcode/545119" TargetMode="External"/><Relationship Id="rId18" Type="http://schemas.openxmlformats.org/officeDocument/2006/relationships/hyperlink" Target="https://urait.ru/bcode/544434" TargetMode="External"/><Relationship Id="rId19" Type="http://schemas.openxmlformats.org/officeDocument/2006/relationships/hyperlink" Target="https://urait.ru/bcode/542983" TargetMode="External"/><Relationship Id="rId20" Type="http://schemas.openxmlformats.org/officeDocument/2006/relationships/hyperlink" Target="https://urait.ru/bcode/557891" TargetMode="External"/><Relationship Id="rId21" Type="http://schemas.openxmlformats.org/officeDocument/2006/relationships/hyperlink" Target="https://urait.ru/bcode/532989" TargetMode="External"/><Relationship Id="rId22" Type="http://schemas.openxmlformats.org/officeDocument/2006/relationships/hyperlink" Target="http://spsl.nsc.ru/win/navigatrn.html." TargetMode="External"/><Relationship Id="rId23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2026-04-21T09:19:25+03:00</dcterms:created>
  <dcterms:modified xsi:type="dcterms:W3CDTF">2026-04-21T09:19:25+03:00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