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ПОПС-формула используется при организации споров, дискуссий. Студент высказывает: П-позицию (объясняет, в чем заключена его точка зрения); О-обоснование (не просто объясняет свою позицию, но и доказывает); П-пример (при разъяснении сути своей позиции пользуется конкретными примерами); С-следствие (делает вывод в результате обсуждения определенной проблемы). Выступление студента занимает примерно 2-3 минуты и может состоять из двух-четырех предложений. ПОПС-формула может применяться для опроса по пройденной теме, при закреплении изученного материала, проверке самостоятельной подготовки студентов.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w:t>
      </w:r>
      <w:br/>
      <w:r>
        <w:rPr/>
        <w:t xml:space="preserve">практических умений;</w:t>
      </w:r>
      <w:br/>
      <w:r>
        <w:rPr/>
        <w:t xml:space="preserve">- формирование умений самостоятельно работать с информацией, использовать </w:t>
      </w:r>
      <w:br/>
      <w:r>
        <w:rPr/>
        <w:t xml:space="preserve">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w:t>
      </w:r>
      <w:br/>
      <w:r>
        <w:rPr/>
        <w:t xml:space="preserve">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 на внутривузовской конференции.</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или путем демонстрации своих умений. В качестве форм и методов контроля самостоятельной работы могут быть также использованы семинарские занятия, коллоквиумы,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w:t>
      </w:r>
      <w:br/>
      <w:r>
        <w:rPr/>
        <w:t xml:space="preserve">При решении задач обучающиеся должны исходить из того, что изложенные в задачах фактические обстоятельства дела предполагаются</w:t>
      </w:r>
      <w:br/>
      <w:r>
        <w:rPr/>
        <w:t xml:space="preserve">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Соучастие в преступлении. Преступная группа : учебник для вузов / Д. В. Савельев. — 3-е изд., перераб. и доп. — Москва : Издательство Юрайт, 2025. — 134 с. — (Высшее образование). — ISBN 978-5-534-17840-1. — Текст : электронный // Образовательная платформа Юрайт [сайт]. — URL: </w:t>
      </w:r>
      <w:hyperlink r:id="rId32" w:history="1">
        <w:r>
          <w:rPr>
            <w:i w:val="1"/>
            <w:iCs w:val="1"/>
          </w:rPr>
          <w:t xml:space="preserve">https://urait.ru/bcode/565269</w:t>
        </w:r>
      </w:hyperlink>
      <w:r>
        <w:rPr>
          <w:i w:val="1"/>
          <w:iCs w:val="1"/>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p>
    <w:p>
      <w:pPr/>
      <w:r>
        <w:rPr/>
        <w:t xml:space="preserve">       </w:t>
      </w:r>
      <w:r>
        <w:rPr>
          <w:b w:val="1"/>
          <w:bCs w:val="1"/>
        </w:rPr>
        <w:t xml:space="preserve">Интернет-ресурсы</w:t>
      </w:r>
    </w:p>
    <w:p>
      <w:pPr>
        <w:numPr>
          <w:ilvl w:val="0"/>
          <w:numId w:val="4"/>
        </w:numPr>
      </w:pPr>
      <w:r>
        <w:rPr/>
        <w:t xml:space="preserve">www . kremlin . ru – официальный сайт Президента Российской Федерации</w:t>
      </w:r>
    </w:p>
    <w:p>
      <w:pPr>
        <w:numPr>
          <w:ilvl w:val="0"/>
          <w:numId w:val="4"/>
        </w:numPr>
      </w:pPr>
      <w:r>
        <w:rPr/>
        <w:t xml:space="preserve">www . gov . ru – Сервер органов государственной власти Российской Федерации</w:t>
      </w:r>
    </w:p>
    <w:p>
      <w:pPr>
        <w:numPr>
          <w:ilvl w:val="0"/>
          <w:numId w:val="4"/>
        </w:numPr>
      </w:pPr>
      <w:r>
        <w:rPr/>
        <w:t xml:space="preserve">http :// www . gov . ru / main / page 7. html – Федеральное собрание РФ</w:t>
      </w:r>
    </w:p>
    <w:p>
      <w:pPr>
        <w:numPr>
          <w:ilvl w:val="0"/>
          <w:numId w:val="4"/>
        </w:numPr>
      </w:pPr>
      <w:r>
        <w:rPr/>
        <w:t xml:space="preserve">http :// www . duma . gov . ru / – Государственная Дума ФС РФ</w:t>
      </w:r>
    </w:p>
    <w:p>
      <w:pPr>
        <w:numPr>
          <w:ilvl w:val="0"/>
          <w:numId w:val="4"/>
        </w:numPr>
      </w:pPr>
      <w:r>
        <w:rPr/>
        <w:t xml:space="preserve">www . vsrf . ru – Верховный Суд Российской Федерации</w:t>
      </w:r>
    </w:p>
    <w:p>
      <w:pPr>
        <w:numPr>
          <w:ilvl w:val="0"/>
          <w:numId w:val="4"/>
        </w:numPr>
      </w:pPr>
      <w:r>
        <w:rPr/>
        <w:t xml:space="preserve">www . ksrf . ru – Конституционный Суд Российской Федерации</w:t>
      </w:r>
    </w:p>
    <w:p>
      <w:pPr>
        <w:numPr>
          <w:ilvl w:val="0"/>
          <w:numId w:val="4"/>
        </w:numPr>
      </w:pPr>
      <w:r>
        <w:rPr/>
        <w:t xml:space="preserve">http://pravo.gov.ru – Официальный интернет-портал правовой информации</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1F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2F9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22F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D0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8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65269"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2026-04-20T22:16:16+03:00</dcterms:created>
  <dcterms:modified xsi:type="dcterms:W3CDTF">2026-04-20T22:16:16+03:00</dcterms:modified>
</cp:coreProperties>
</file>

<file path=docProps/custom.xml><?xml version="1.0" encoding="utf-8"?>
<Properties xmlns="http://schemas.openxmlformats.org/officeDocument/2006/custom-properties" xmlns:vt="http://schemas.openxmlformats.org/officeDocument/2006/docPropsVTypes"/>
</file>