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06.03.01 Биология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«Биоразнообразие»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920 (с изменениями от 27.02.2023 г. №208, от 19.07.2022 №662, от 26.11.2020 №1456) и учебным планом по направлению подготовки бакалавриата 06.03.01 Биология  (профиль «Биоразнообразие»).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права; 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в коллективе, оказывать образовательные услуги в организациях, осуществляющих образовательную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Владеет навыками преподавания и коллективного взаимодействия в образовательных организациях; </w:t>
            </w:r>
          </w:p>
          <w:p/>
          <w:p>
            <w:pPr/>
            <w:r>
              <w:rPr/>
              <w:t xml:space="preserve">ПК-3.2. Владеет методологией и методикой проектирования и реализации воспитательных программ;</w:t>
            </w:r>
          </w:p>
          <w:p/>
          <w:p>
            <w:pPr/>
            <w:r>
              <w:rPr/>
              <w:t xml:space="preserve">ПК-3.3. Владеет навыками развития у обучающихся познавательной активности, самостоятельности, творческих способностей, способности к труду и жизни в условиях современного мира с учетом возрастных и личностных особенностей обучающихся.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2"/>
        </w:numPr>
      </w:pPr>
      <w:r>
        <w:rPr/>
        <w:t xml:space="preserve">Фирмы договариваются</w:t>
      </w:r>
    </w:p>
    <w:p>
      <w:pPr>
        <w:numPr>
          <w:ilvl w:val="0"/>
          <w:numId w:val="2"/>
        </w:numPr>
      </w:pPr>
      <w:r>
        <w:rPr/>
        <w:t xml:space="preserve">Строим город</w:t>
      </w:r>
    </w:p>
    <w:p>
      <w:pPr>
        <w:numPr>
          <w:ilvl w:val="0"/>
          <w:numId w:val="2"/>
        </w:numPr>
      </w:pPr>
      <w:r>
        <w:rPr/>
        <w:t xml:space="preserve">Устройство на работу</w:t>
      </w:r>
    </w:p>
    <w:p>
      <w:pPr>
        <w:numPr>
          <w:ilvl w:val="0"/>
          <w:numId w:val="2"/>
        </w:numPr>
      </w:pPr>
      <w:r>
        <w:rPr/>
        <w:t xml:space="preserve">Работа в команде</w:t>
      </w:r>
    </w:p>
    <w:p>
      <w:pPr>
        <w:numPr>
          <w:ilvl w:val="0"/>
          <w:numId w:val="2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3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3"/>
        </w:numPr>
      </w:pPr>
      <w:r>
        <w:rPr/>
        <w:t xml:space="preserve">яркие и доходчивые образы;</w:t>
      </w:r>
    </w:p>
    <w:p>
      <w:pPr>
        <w:numPr>
          <w:ilvl w:val="0"/>
          <w:numId w:val="3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3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3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3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3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4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4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4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4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4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5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5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5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6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6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6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79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75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55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26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8D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E05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A3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5DE85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8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FC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891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74D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029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B79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2026-04-21T09:19:02+03:00</dcterms:created>
  <dcterms:modified xsi:type="dcterms:W3CDTF">2026-04-21T09:19:02+03:00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