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ПРОЕКТНАЯ ДЕЯТЕЛЬНОСТЬ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Колтакова Ксения Алексеевна, преподаватель, кафедра уголовного права и процесса.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уголовного права и процесса.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и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Проектная деятельность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2, 32,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Проектная деятельность: общие положения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Проект: структура, проектный анализ и управление.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реализации проекта на практике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Концепция проектной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управления проектами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проекта и начало деятельности по проекту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Организационные структуры управления проектами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Проектное финансирование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Календарно-сетевой план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Оперативное управление проектами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Специфика управления проектами различных типов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концепции проекта в рамках самостоятельной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Международные стандарты по управлению проектами. Понятие и методы УП. Процессы УП. Базовые варианты схем УП. Сравнение функций традиционного (функционального) и проектного менеджмента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и подсистемы управления проектом. Основные участники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жизненного цикла традиционного проекта. Классификация типов проектов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Проектный анализ и его компоненты. Оценка реализуемости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Функциональные, матричные, проектно-целевые и смешанные (гибридные) организационные структуры. Методы контроля фактического выполнения работ. Управление изменениями и анализ результатов выполнения работ по проекту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разработанной концепции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Адаптация концепции проекта с учетом комментариев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Реализация проекта согласно разработанному календарно-сетевому плану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 по проекту, рефлексия, получение обратной связи от целевой аудитории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Методика преподавания дисциплины и 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 с целью формирования и развития профессиональных навыков обучающихся. Определено обязательное командное участие студентов в разработке и апробации проекта. Студенты, имеющие задолженность по дисциплине не допускаются до промежуточной аттестации.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творческое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Примерные варианты тестовых заданий:</w:t>
      </w:r>
    </w:p>
    <w:p>
      <w:pPr/>
      <w:r>
        <w:rPr/>
        <w:t xml:space="preserve">Тестовые задания.</w:t>
      </w:r>
    </w:p>
    <w:p>
      <w:pPr>
        <w:numPr>
          <w:ilvl w:val="0"/>
          <w:numId w:val="1"/>
        </w:numPr>
      </w:pPr>
      <w:r>
        <w:rPr/>
        <w:t xml:space="preserve">Какое из приведённых определений проекта верно:</w:t>
      </w:r>
    </w:p>
    <w:p>
      <w:pPr>
        <w:numPr>
          <w:ilvl w:val="1"/>
          <w:numId w:val="1"/>
        </w:numPr>
      </w:pPr>
      <w:r>
        <w:rPr/>
        <w:t xml:space="preserve">проект – уникальная деятельность, имеющая начало и конец во времени, направленная на достижение определенного результата/цели, создание определённого, уникального продукта или услуги при заданных ограничениях по ресурсам и срокам;</w:t>
      </w:r>
    </w:p>
    <w:p>
      <w:pPr>
        <w:numPr>
          <w:ilvl w:val="1"/>
          <w:numId w:val="1"/>
        </w:numPr>
      </w:pPr>
      <w:r>
        <w:rPr/>
        <w:t xml:space="preserve">проект – совокупность заранее запланированных действий для достижения какой-либо цели;</w:t>
      </w:r>
    </w:p>
    <w:p>
      <w:pPr>
        <w:numPr>
          <w:ilvl w:val="1"/>
          <w:numId w:val="1"/>
        </w:numPr>
      </w:pPr>
      <w:r>
        <w:rPr/>
        <w:t xml:space="preserve">проект – процесс создания реально возможных объектов будущего или процесс создания реально возможных вариантов продуктов будущего;</w:t>
      </w:r>
    </w:p>
    <w:p>
      <w:pPr>
        <w:numPr>
          <w:ilvl w:val="1"/>
          <w:numId w:val="1"/>
        </w:numPr>
      </w:pPr>
      <w:r>
        <w:rPr/>
        <w:t xml:space="preserve">проект – совокупность взаимосвязанных мероприятий или задач, направленных на создание определённого продукта или услуги для потребителей.</w:t>
      </w:r>
    </w:p>
    <w:p>
      <w:pPr/>
    </w:p>
    <w:p/>
    <w:p>
      <w:pPr/>
      <w:r>
        <w:rPr/>
        <w:t xml:space="preserve">Творческое задание</w:t>
      </w:r>
    </w:p>
    <w:p>
      <w:pPr/>
      <w:r>
        <w:rPr/>
        <w:t xml:space="preserve">Примерные темы проектов:</w:t>
      </w:r>
    </w:p>
    <w:p>
      <w:pPr>
        <w:numPr>
          <w:ilvl w:val="0"/>
          <w:numId w:val="2"/>
        </w:numPr>
      </w:pPr>
      <w:r>
        <w:rPr/>
        <w:t xml:space="preserve">Профилактика девиантного поведения несовершеннолетних</w:t>
      </w:r>
    </w:p>
    <w:p>
      <w:pPr>
        <w:numPr>
          <w:ilvl w:val="0"/>
          <w:numId w:val="2"/>
        </w:numPr>
      </w:pPr>
      <w:r>
        <w:rPr/>
        <w:t xml:space="preserve">Правовое просвещение граждан старше 60 лет</w:t>
      </w:r>
    </w:p>
    <w:p>
      <w:pPr>
        <w:numPr>
          <w:ilvl w:val="0"/>
          <w:numId w:val="2"/>
        </w:numPr>
      </w:pPr>
      <w:r>
        <w:rPr/>
        <w:t xml:space="preserve">Правовые механизмы защиты прав животных</w:t>
      </w:r>
    </w:p>
    <w:p>
      <w:pPr>
        <w:numPr>
          <w:ilvl w:val="0"/>
          <w:numId w:val="2"/>
        </w:numPr>
      </w:pPr>
      <w:r>
        <w:rPr/>
        <w:t xml:space="preserve">Правовое просвещение обучающихся школы</w:t>
      </w:r>
    </w:p>
    <w:p>
      <w:pPr>
        <w:numPr>
          <w:ilvl w:val="0"/>
          <w:numId w:val="2"/>
        </w:numPr>
      </w:pPr>
      <w:r>
        <w:rPr/>
        <w:t xml:space="preserve">Ресоциализация осужденных</w:t>
      </w:r>
    </w:p>
    <w:p>
      <w:pPr/>
      <w:r>
        <w:rPr/>
        <w:t xml:space="preserve">По согласованию с преподавателем возможно выбрать другую тему проекта.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Примерные варианты вопросов к зачету: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Проекты и их основные характеристики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Жизненный цикл проекта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Структуризация проекта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Окружение проекта и его участники. </w:t>
      </w:r>
      <w:r>
        <w:rPr/>
        <w:t xml:space="preserve">Администрирование проекта.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Разработка концепции проекта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Сущность проектного анализа.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Технико-экономическое обоснование инвестиций.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Состав бизнес-плана.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Оценка проектных рисков.</w:t>
      </w:r>
    </w:p>
    <w:p>
      <w:pPr>
        <w:numPr>
          <w:ilvl w:val="0"/>
          <w:numId w:val="3"/>
        </w:numPr>
      </w:pPr>
      <w:r>
        <w:rPr/>
        <w:t xml:space="preserve">Основные принципы и подходы к планированию работ по проекту.</w:t>
      </w:r>
    </w:p>
    <w:p>
      <w:pPr>
        <w:numPr>
          <w:ilvl w:val="0"/>
          <w:numId w:val="3"/>
        </w:numPr>
      </w:pPr>
      <w:r>
        <w:rPr/>
        <w:t xml:space="preserve">Состав и порядок разработки проектно-сметной документации.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Материально-техническая подготовка проекта.</w:t>
      </w:r>
    </w:p>
    <w:p>
      <w:pPr>
        <w:numPr>
          <w:ilvl w:val="0"/>
          <w:numId w:val="3"/>
        </w:numPr>
      </w:pPr>
      <w:r>
        <w:rPr/>
        <w:t xml:space="preserve">Планирование и контроль деятельности проектной группы.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Структуры управления проектами.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Функции участников проекта.</w:t>
      </w:r>
    </w:p>
    <w:p>
      <w:pPr>
        <w:numPr>
          <w:ilvl w:val="0"/>
          <w:numId w:val="3"/>
        </w:numPr>
      </w:pPr>
      <w:r>
        <w:rPr/>
        <w:t xml:space="preserve">Контроль и регулирование хода реализации проекта.</w:t>
      </w:r>
    </w:p>
    <w:p>
      <w:pPr>
        <w:numPr>
          <w:ilvl w:val="0"/>
          <w:numId w:val="3"/>
        </w:numPr>
      </w:pPr>
      <w:r>
        <w:rPr/>
        <w:t xml:space="preserve">Управление сдачей-приемкой объекта. Закрытие контракта.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Концепция управления качеством проекта.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Человеческие аспекты проектного менеджмента.</w:t>
      </w:r>
    </w:p>
    <w:p>
      <w:pPr>
        <w:numPr>
          <w:ilvl w:val="0"/>
          <w:numId w:val="3"/>
        </w:numPr>
      </w:pPr>
      <w:r>
        <w:rPr/>
        <w:t xml:space="preserve">Информационные, программно-аппаратные и телекоммуникационные средства управления проектами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подготовки проекта обучающиеся осуществляют самостоятельную групповую работу по согласованной с преподавателем теме.</w:t>
      </w:r>
    </w:p>
    <w:p>
      <w:pPr/>
      <w:r>
        <w:rPr/>
        <w:t xml:space="preserve">            Проект готовится обучающимися после тщательной проработки теоретического базиса, использования как учебной литературы, так и нормативно-правовых актов.</w:t>
      </w:r>
    </w:p>
    <w:p>
      <w:pPr/>
      <w:r>
        <w:rPr/>
        <w:t xml:space="preserve">            Самостоятельная работа - планируемая учебная, учебно-исследовательская, научно-исследовательская работа студентов, выполняемая во внеаудиторное время по заданию и при методическом руководстве преподавателя, но без его непосредственного участия (при частичном непосредственном участии преподавателя, оставляющем ведущую роль за</w:t>
      </w:r>
      <w:r>
        <w:rPr/>
        <w:t xml:space="preserve"> </w:t>
      </w:r>
      <w:r>
        <w:rPr/>
        <w:t xml:space="preserve"> работой студентов).</w:t>
      </w:r>
    </w:p>
    <w:p>
      <w:pPr/>
      <w:r>
        <w:rPr/>
        <w:t xml:space="preserve">            Самостоятельная работа студентов – это процесс активного, целенаправленного приобретения студентом новых знаний, умений без непосредственного участия преподавателя, характеризующийся предметной направленностью, эффективным контролем и оценкой результатов деятельности обучающегося.</w:t>
      </w:r>
    </w:p>
    <w:p>
      <w:pPr/>
      <w:r>
        <w:rPr/>
        <w:t xml:space="preserve">Цели самостоятельной работы:</w:t>
      </w:r>
    </w:p>
    <w:p>
      <w:pPr>
        <w:numPr>
          <w:ilvl w:val="0"/>
          <w:numId w:val="4"/>
        </w:numPr>
      </w:pPr>
      <w:r>
        <w:rPr/>
        <w:t xml:space="preserve">систематизация и закрепление полученных теоретических знаний и практических умений студентов;</w:t>
      </w:r>
    </w:p>
    <w:p>
      <w:pPr>
        <w:numPr>
          <w:ilvl w:val="0"/>
          <w:numId w:val="4"/>
        </w:numPr>
      </w:pPr>
      <w:r>
        <w:rPr/>
        <w:t xml:space="preserve">углубление и расширение теоретических знаний;</w:t>
      </w:r>
    </w:p>
    <w:p>
      <w:pPr>
        <w:numPr>
          <w:ilvl w:val="0"/>
          <w:numId w:val="4"/>
        </w:numPr>
      </w:pPr>
      <w:r>
        <w:rPr/>
        <w:t xml:space="preserve">формирование умений использовать нормативную и справочную документацию, специальную литературу;</w:t>
      </w:r>
    </w:p>
    <w:p>
      <w:pPr>
        <w:numPr>
          <w:ilvl w:val="0"/>
          <w:numId w:val="4"/>
        </w:numPr>
      </w:pPr>
      <w:r>
        <w:rPr/>
        <w:t xml:space="preserve">развитие познавательных способностей, активности студентов, ответственности и организованности;</w:t>
      </w:r>
    </w:p>
    <w:p>
      <w:pPr>
        <w:numPr>
          <w:ilvl w:val="0"/>
          <w:numId w:val="4"/>
        </w:numPr>
      </w:pPr>
      <w:r>
        <w:rPr/>
        <w:t xml:space="preserve">формирование самостоятельности мышления, творческой инициативы, способностей к саморазвитию, самосовершенствованию и самореализации;</w:t>
      </w:r>
    </w:p>
    <w:p>
      <w:pPr>
        <w:numPr>
          <w:ilvl w:val="0"/>
          <w:numId w:val="4"/>
        </w:numPr>
      </w:pPr>
      <w:r>
        <w:rPr/>
        <w:t xml:space="preserve">развитие исследовательских умений и академических навыков.</w:t>
      </w:r>
    </w:p>
    <w:p>
      <w:pPr/>
      <w:r>
        <w:rPr/>
        <w:t xml:space="preserve">            Самостоятельная работа может осуществляться индивидуально или группами студентов в зависимости от цели, объема, уровня сложности, конкретной тематики.</w:t>
      </w:r>
    </w:p>
    <w:p>
      <w:pPr/>
      <w:r>
        <w:rPr/>
        <w:t xml:space="preserve">            Технология организации самостоятельной работы студентов включает использование информационных и материально-технических ресурсов образовательного учреждения. Кроме того, в рамках самостоятельной работы предусмотрена групповая деятельность студентов по созданию проекта.</w:t>
      </w:r>
    </w:p>
    <w:p>
      <w:pPr/>
      <w:r>
        <w:rPr/>
        <w:t xml:space="preserve">            Перед выполнением обучающимися внеаудиторной самостоятельной работы преподаватель может проводить инструктаж по выполнению задания. В инструктаж включается:</w:t>
      </w:r>
    </w:p>
    <w:p>
      <w:pPr>
        <w:numPr>
          <w:ilvl w:val="0"/>
          <w:numId w:val="5"/>
        </w:numPr>
      </w:pPr>
      <w:r>
        <w:rPr/>
        <w:t xml:space="preserve">цель и содержание задания;</w:t>
      </w:r>
    </w:p>
    <w:p>
      <w:pPr>
        <w:numPr>
          <w:ilvl w:val="0"/>
          <w:numId w:val="5"/>
        </w:numPr>
      </w:pPr>
      <w:r>
        <w:rPr/>
        <w:t xml:space="preserve">сроки выполнения;</w:t>
      </w:r>
    </w:p>
    <w:p>
      <w:pPr>
        <w:numPr>
          <w:ilvl w:val="0"/>
          <w:numId w:val="5"/>
        </w:numPr>
      </w:pPr>
      <w:r>
        <w:rPr/>
        <w:t xml:space="preserve">ориентировочный объем работы;</w:t>
      </w:r>
    </w:p>
    <w:p>
      <w:pPr>
        <w:numPr>
          <w:ilvl w:val="0"/>
          <w:numId w:val="5"/>
        </w:numPr>
      </w:pPr>
      <w:r>
        <w:rPr/>
        <w:t xml:space="preserve">основные требования к результатам работы и критерии оценки;</w:t>
      </w:r>
    </w:p>
    <w:p>
      <w:pPr>
        <w:numPr>
          <w:ilvl w:val="0"/>
          <w:numId w:val="5"/>
        </w:numPr>
      </w:pPr>
      <w:r>
        <w:rPr/>
        <w:t xml:space="preserve">возможные типичные ошибки при выполнении.</w:t>
      </w:r>
    </w:p>
    <w:p>
      <w:pPr/>
      <w:r>
        <w:rPr/>
        <w:t xml:space="preserve">            Инструктаж проводится преподавателем за счет объема времени, отведенного на изучение дисциплины.</w:t>
      </w:r>
    </w:p>
    <w:p>
      <w:pPr/>
      <w:r>
        <w:rPr/>
        <w:t xml:space="preserve">            Контроль результатов внеаудиторной самостоятельной работы студентов может проходить в письменной, устной или смешанной форме.</w:t>
      </w:r>
    </w:p>
    <w:p>
      <w:pPr/>
      <w:r>
        <w:rPr/>
        <w:t xml:space="preserve">            Студенты должны подходить к самостоятельной работе как к наиважнейшему средству закрепления и развития теоретических знаний, выработке единства взглядов на отдельные вопросы курса, приобретения определенных навыков и использования профессиональной литературы.</w:t>
      </w:r>
    </w:p>
    <w:p>
      <w:pPr/>
      <w:r>
        <w:rPr/>
        <w:t xml:space="preserve">            Помещения для самостоятельной работы обучающихся должны быть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>
      <w:pPr/>
      <w:r>
        <w:rPr/>
        <w:t xml:space="preserve">При самостоятельной проработке курса обучающиеся должны:</w:t>
      </w:r>
    </w:p>
    <w:p>
      <w:pPr>
        <w:numPr>
          <w:ilvl w:val="0"/>
          <w:numId w:val="6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6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6"/>
        </w:numPr>
      </w:pPr>
      <w:r>
        <w:rPr/>
        <w:t xml:space="preserve">изучить рекомендованную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6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6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6"/>
        </w:numPr>
      </w:pPr>
      <w:r>
        <w:rPr/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лучшего усвоения обучающимися материала во время проведения лекций любого вида используется мультимедийное оборудование. Кроме того, стоит отметить сложность формулирования идеи проекта. Для решения данной проблемы будет полезным обратиться к мировому опыту проектирования и изучить наиболее актуальные социально-правовые проблемы региона.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Управление проектами : учебник и практикум для вузов / А. И. Балашов, Е. М. Рогова, М. В. Тихонова, Е. А. Ткаченко ; под редакцией Е. М. Роговой. — Москва : Издательство Юрайт, 2025. — 302 с. — (Высшее образование). — ISBN 978-5-534-21476-5.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https://urait.ru/bcode/581725</w:t>
        </w:r>
      </w:hyperlink>
      <w:r>
        <w:rPr/>
        <w:t xml:space="preserve">  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i w:val="1"/>
          <w:iCs w:val="1"/>
        </w:rPr>
        <w:t xml:space="preserve">Зуб, А. Т. </w:t>
      </w:r>
      <w:r>
        <w:rPr/>
        <w:t xml:space="preserve"> Управление проектами : учебник и практикум для вузов / А. Т. Зуб. — 2-е изд., перераб. и доп. — Москва : Издательство Юрайт, 2025. — 397 с. — (Высшее образование). — ISBN 978-5-534-17500-4.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https://urait.ru/bcode/560386</w:t>
        </w:r>
      </w:hyperlink>
      <w:r>
        <w:rPr/>
        <w:t xml:space="preserve"> </w:t>
      </w:r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Электронно-библиотечная система [Электронный ресурс].: </w:t>
      </w:r>
      <w:r>
        <w:rPr/>
        <w:t xml:space="preserve">URL</w:t>
      </w:r>
      <w:r>
        <w:rPr/>
        <w:t xml:space="preserve">: </w:t>
      </w:r>
      <w:hyperlink r:id="rId9" w:history="1">
        <w:r>
          <w:rPr/>
          <w:t xml:space="preserve">http://www.biblio-online.ru/ </w:t>
        </w:r>
      </w:hyperlink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КонсультантПлюс - справочная правовая система [Электронный ресурс]. </w:t>
      </w:r>
      <w:r>
        <w:rPr/>
        <w:t xml:space="preserve">URL: </w:t>
      </w:r>
      <w:hyperlink r:id="rId10" w:history="1">
        <w:r>
          <w:rPr/>
          <w:t xml:space="preserve">http://www.consultant.ru/</w:t>
        </w:r>
      </w:hyperlink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 : научная электронная библиотека : электронная библиотека журналов [Электронный ресурс]. </w:t>
      </w:r>
      <w:r>
        <w:rPr/>
        <w:t xml:space="preserve">URL: </w:t>
      </w:r>
      <w:hyperlink r:id="rId11" w:history="1">
        <w:r>
          <w:rPr/>
          <w:t xml:space="preserve">http://elibrary.ru</w:t>
        </w:r>
      </w:hyperlink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Moodle</w:t>
      </w:r>
      <w:r>
        <w:rPr/>
        <w:t xml:space="preserve"> : электронное образование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student</w:t>
      </w:r>
      <w:r>
        <w:rPr/>
        <w:t xml:space="preserve">.</w:t>
      </w:r>
      <w:r>
        <w:rPr/>
        <w:t xml:space="preserve">jurac</w:t>
      </w:r>
      <w:r>
        <w:rPr/>
        <w:t xml:space="preserve">.</w:t>
      </w:r>
      <w:r>
        <w:rPr/>
        <w:t xml:space="preserve">ru</w:t>
      </w:r>
      <w:r>
        <w:rPr/>
        <w:t xml:space="preserve">/ 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Государственная автоматизированная система Российской Федерации «Правосудие» : интернет-портал [Электронный ресурс]. </w:t>
      </w:r>
      <w:r>
        <w:rPr/>
        <w:t xml:space="preserve">URL: </w:t>
      </w:r>
      <w:hyperlink r:id="rId12" w:history="1">
        <w:r>
          <w:rPr/>
          <w:t xml:space="preserve">https://sudrf.ru/</w:t>
        </w:r>
      </w:hyperlink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Официальный интернет-портал правовой информации : государственная система правовой информации [Электронный ресурс]. </w:t>
      </w:r>
      <w:r>
        <w:rPr/>
        <w:t xml:space="preserve">URL: </w:t>
      </w:r>
      <w:hyperlink r:id="rId13" w:history="1">
        <w:r>
          <w:rPr/>
          <w:t xml:space="preserve">http://pravo.gov.ru/</w:t>
        </w:r>
      </w:hyperlink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Правительство России: официальный сайт [Электронный ресурс].</w:t>
      </w:r>
      <w:r>
        <w:rPr/>
        <w:t xml:space="preserve">URL</w:t>
      </w:r>
      <w:r>
        <w:rPr/>
        <w:t xml:space="preserve">: </w:t>
      </w:r>
      <w:hyperlink r:id="rId14" w:history="1">
        <w:r>
          <w:rPr/>
          <w:t xml:space="preserve">http://government.ru/ </w:t>
        </w:r>
      </w:hyperlink>
    </w:p>
    <w:p>
      <w:pPr>
        <w:numPr>
          <w:ilvl w:val="0"/>
          <w:numId w:val="7"/>
        </w:numPr>
      </w:pPr>
      <w:r>
        <w:rPr/>
        <w:t xml:space="preserve">Президент России: официальный сайт [Электронный ресурс].</w:t>
      </w:r>
      <w:r>
        <w:rPr/>
        <w:t xml:space="preserve">URL</w:t>
      </w:r>
      <w:r>
        <w:rPr/>
        <w:t xml:space="preserve">: </w:t>
      </w:r>
      <w:hyperlink r:id="rId15" w:history="1">
        <w:r>
          <w:rPr/>
          <w:t xml:space="preserve">http://kremlin.ru/ </w:t>
        </w:r>
      </w:hyperlink>
    </w:p>
    <w:p>
      <w:pPr>
        <w:numPr>
          <w:ilvl w:val="0"/>
          <w:numId w:val="7"/>
        </w:numPr>
      </w:pPr>
      <w:r>
        <w:rPr/>
        <w:t xml:space="preserve">Сайт Конституции Российской Федерации [Электронный ресурс].:</w:t>
      </w:r>
      <w:r>
        <w:rPr/>
        <w:t xml:space="preserve">URL</w:t>
      </w:r>
      <w:r>
        <w:rPr/>
        <w:t xml:space="preserve">: </w:t>
      </w:r>
      <w:hyperlink r:id="rId16" w:history="1">
        <w:r>
          <w:rPr/>
          <w:t xml:space="preserve">http://constitution.garant.ru/ </w:t>
        </w:r>
      </w:hyperlink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Верховный Суд Российской Федерации [Электронный ресурс]. </w:t>
      </w:r>
      <w:r>
        <w:rPr/>
        <w:t xml:space="preserve">URL: </w:t>
      </w:r>
      <w:hyperlink r:id="rId17" w:history="1">
        <w:r>
          <w:rPr/>
          <w:t xml:space="preserve">http://vsrf.ru/</w:t>
        </w:r>
      </w:hyperlink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Конституционный Суд Российской Федерации: официальный сайт [Электронный ресурс]. </w:t>
      </w:r>
      <w:r>
        <w:rPr/>
        <w:t xml:space="preserve">URL: </w:t>
      </w:r>
      <w:hyperlink r:id="rId18" w:history="1">
        <w:r>
          <w:rPr/>
          <w:t xml:space="preserve">http://www.ksrf.ru/</w:t>
        </w:r>
      </w:hyperlink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Министерство внутренних дел Российской Федерации: официальный сайт [Электронный ресурс]. </w:t>
      </w:r>
      <w:r>
        <w:rPr/>
        <w:t xml:space="preserve">URL: </w:t>
      </w:r>
      <w:hyperlink r:id="rId19" w:history="1">
        <w:r>
          <w:rPr/>
          <w:t xml:space="preserve">http://www.mvd.ru/</w:t>
        </w:r>
      </w:hyperlink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Совет Безопасности Российской Федерации : интернет-портал [Электронный ресурс]. </w:t>
      </w:r>
      <w:r>
        <w:rPr/>
        <w:t xml:space="preserve">URL: </w:t>
      </w:r>
      <w:hyperlink r:id="rId20" w:history="1">
        <w:r>
          <w:rPr/>
          <w:t xml:space="preserve">http://scrf.gov.ru/</w:t>
        </w:r>
      </w:hyperlink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Архивы России : отраслевой портал / Федеральное архивное агентство. - [Электронный ресурс]. </w:t>
      </w:r>
      <w:r>
        <w:rPr/>
        <w:t xml:space="preserve">URL: </w:t>
      </w:r>
      <w:hyperlink r:id="rId21" w:history="1">
        <w:r>
          <w:rPr/>
          <w:t xml:space="preserve">http://rusarchives.ru</w:t>
        </w:r>
      </w:hyperlink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Государственный архив Российской Федерации : официальный сайт [Электронный ресурс]. </w:t>
      </w:r>
      <w:r>
        <w:rPr/>
        <w:t xml:space="preserve">URL: </w:t>
      </w:r>
      <w:hyperlink r:id="rId22" w:history="1">
        <w:r>
          <w:rPr/>
          <w:t xml:space="preserve">http://statearchive.ru</w:t>
        </w:r>
      </w:hyperlink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КиберЛенинка : научная электронная библиотека открытого доступа [Электронный ресурс]. </w:t>
      </w:r>
      <w:r>
        <w:rPr/>
        <w:t xml:space="preserve">URL: </w:t>
      </w:r>
      <w:hyperlink r:id="rId23" w:history="1">
        <w:r>
          <w:rPr/>
          <w:t xml:space="preserve">http://cyberleninka.ru/</w:t>
        </w:r>
      </w:hyperlink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Навигатор по информационно-библиотечным ресурсам интернет [Электронный ресурс]. </w:t>
      </w:r>
      <w:r>
        <w:rPr/>
        <w:t xml:space="preserve">URL: </w:t>
      </w:r>
      <w:hyperlink r:id="rId24" w:history="1">
        <w:r>
          <w:rPr/>
          <w:t xml:space="preserve">http://spsl.nsc.ru/win/navigatrn.html. </w:t>
        </w:r>
      </w:hyperlink>
    </w:p>
    <w:p>
      <w:pPr>
        <w:numPr>
          <w:ilvl w:val="0"/>
          <w:numId w:val="7"/>
        </w:numPr>
      </w:pPr>
      <w:r>
        <w:rPr/>
        <w:t xml:space="preserve">Президентская библиотека [Электронный ресурс].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prlib</w:t>
      </w:r>
      <w:r>
        <w:rPr/>
        <w:t xml:space="preserve">.</w:t>
      </w:r>
      <w:r>
        <w:rPr/>
        <w:t xml:space="preserve">ru</w:t>
      </w:r>
      <w:r>
        <w:rPr/>
        <w:t xml:space="preserve">/ 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Российская государственная библиотека : официальный сайт [Электронный ресурс]. </w:t>
      </w:r>
      <w:r>
        <w:rPr/>
        <w:t xml:space="preserve">URL: </w:t>
      </w:r>
      <w:hyperlink r:id="rId25" w:history="1">
        <w:r>
          <w:rPr/>
          <w:t xml:space="preserve">http://rsl.ru/</w:t>
        </w:r>
      </w:hyperlink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Российская национальная библиотека : интернет-сайт [Электронный ресурс]. </w:t>
      </w:r>
      <w:r>
        <w:rPr/>
        <w:t xml:space="preserve">Режим доступа: </w:t>
      </w:r>
      <w:hyperlink r:id="rId26" w:history="1">
        <w:r>
          <w:rPr/>
          <w:t xml:space="preserve">http://nlr.ru/</w:t>
        </w:r>
      </w:hyperlink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Пакет Microsoft Office 2007-2010 (Word, Excel, Power Point)</w:t>
      </w:r>
    </w:p>
    <w:p>
      <w:pPr>
        <w:numPr>
          <w:ilvl w:val="0"/>
          <w:numId w:val="7"/>
        </w:numPr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numPr>
          <w:ilvl w:val="0"/>
          <w:numId w:val="7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D2B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F8B6F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6CD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521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705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1E3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A548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8D02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25" TargetMode="External"/><Relationship Id="rId8" Type="http://schemas.openxmlformats.org/officeDocument/2006/relationships/hyperlink" Target="https://urait.ru/bcode/560386" TargetMode="External"/><Relationship Id="rId9" Type="http://schemas.openxmlformats.org/officeDocument/2006/relationships/hyperlink" Target="https://web5.urait.ru/" TargetMode="External"/><Relationship Id="rId10" Type="http://schemas.openxmlformats.org/officeDocument/2006/relationships/hyperlink" Target="http://www.consultant.ru/" TargetMode="External"/><Relationship Id="rId11" Type="http://schemas.openxmlformats.org/officeDocument/2006/relationships/hyperlink" Target="http://elibrary.ru" TargetMode="External"/><Relationship Id="rId12" Type="http://schemas.openxmlformats.org/officeDocument/2006/relationships/hyperlink" Target="https://sudrf.ru/" TargetMode="External"/><Relationship Id="rId13" Type="http://schemas.openxmlformats.org/officeDocument/2006/relationships/hyperlink" Target="http://pravo.gov.ru/" TargetMode="External"/><Relationship Id="rId14" Type="http://schemas.openxmlformats.org/officeDocument/2006/relationships/hyperlink" Target="http://government.ru/" TargetMode="External"/><Relationship Id="rId15" Type="http://schemas.openxmlformats.org/officeDocument/2006/relationships/hyperlink" Target="http://kremlin.ru/" TargetMode="External"/><Relationship Id="rId16" Type="http://schemas.openxmlformats.org/officeDocument/2006/relationships/hyperlink" Target="https://constitution.garant.ru/" TargetMode="External"/><Relationship Id="rId17" Type="http://schemas.openxmlformats.org/officeDocument/2006/relationships/hyperlink" Target="http://vsrf.ru/" TargetMode="External"/><Relationship Id="rId18" Type="http://schemas.openxmlformats.org/officeDocument/2006/relationships/hyperlink" Target="http://www.ksrf.ru/" TargetMode="External"/><Relationship Id="rId19" Type="http://schemas.openxmlformats.org/officeDocument/2006/relationships/hyperlink" Target="http://www.mvd.ru/" TargetMode="External"/><Relationship Id="rId20" Type="http://schemas.openxmlformats.org/officeDocument/2006/relationships/hyperlink" Target="http://scrf.gov.ru/" TargetMode="External"/><Relationship Id="rId21" Type="http://schemas.openxmlformats.org/officeDocument/2006/relationships/hyperlink" Target="http://rusarchives.ru" TargetMode="External"/><Relationship Id="rId22" Type="http://schemas.openxmlformats.org/officeDocument/2006/relationships/hyperlink" Target="http://statearchive.ru" TargetMode="External"/><Relationship Id="rId23" Type="http://schemas.openxmlformats.org/officeDocument/2006/relationships/hyperlink" Target="http://cyberleninka.ru/" TargetMode="External"/><Relationship Id="rId24" Type="http://schemas.openxmlformats.org/officeDocument/2006/relationships/hyperlink" Target="http://spsl.nsc.ru/win/navigatrn.html." TargetMode="External"/><Relationship Id="rId25" Type="http://schemas.openxmlformats.org/officeDocument/2006/relationships/hyperlink" Target="http://rsl.ru/" TargetMode="External"/><Relationship Id="rId26" Type="http://schemas.openxmlformats.org/officeDocument/2006/relationships/hyperlink" Target="http://nl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2026-04-23T19:23:50+03:00</dcterms:created>
  <dcterms:modified xsi:type="dcterms:W3CDTF">2026-04-23T19:23:50+03:00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