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ПРАКТИКУМ ПО СОСТАВЛЕНИЮ ПРОЦЕССУАЛЬНЫХ ДОКУМЕНТОВ В УГОЛОВНОМ СУДОПРОИЗВОДСТВЕ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Колтакова Ксения Алексеевна, преподаватель, кафедра уголовного права и процесса.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Практикум по составлению процессуальных документов в гражданском судопроизводстве (О), Подготовка к сдаче и сдача государственного экзамена (И), Проектная деятельность: юридическая клиника (О), Проектная деятельность: гуманитарный иннопарк (НО), Практикум по составлению процессуальных документов в уголовном судопроизводстве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ПК-7 наряду с дисциплинами: Правовые основы адвокатуры и нотариата (О), Практикум по составлению процессуальных документов в гражданском судопроизводстве (О), Трудовое право (О), Земельное право (И), Подготовка к сдаче и сдача государственного экзамена (И), Личные неимущественные права: регулирование и способы защиты (И), Правовое регулирование градостроительной деятельности в Российской Федерации (О), Жилищное право (О), Международное право (О), Производственная практика (О), Латинский язык (Н), Экономика (О), Практикум по составлению процессуальных документов в уголовном судопроизводстве (О), Экологическое право (И), Международное частное право (И).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Практикум по составлению процессуальных документов в уголовном судопроизводстве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10, 102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Практикум по составлению процессуальных документов в уголовном судопроизводстве.</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102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Практикум по составлению процессуальных документов в уголовном судопроизводстве.</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Постановление о возбуждении уголовного дела (ст. 146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Постановление об отказе в возбуждении уголовного дела (ст. 148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Особенности подготовки постановления о соединении уголовных дел (ст. 153 УПК РФ). Постановление о выделении материалов уголовного дела (ст. 155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Постановление о производстве выемки (ст. 183 УПК РФ). Постановление следователя о возбуждении перед судом ходатайства о производстве обыска в жилище (ст. 182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Постановление следователя о возбуждении перед судом ходатайства о получении информации о соединениях между абонентами (ст. 186.1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Постановление о назначении судебной экспертизы (глава 27 УПК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Протокол задержания (ст. 92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Постановление о возбуждении ходатайства о применении залога (ст. 106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Постановление о возбуждении перед судом ходатайства об избрании в качестве меры пресечения заключения под стражу (ст. 108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Постановление о наложении ареста на имущество (ст. 160.1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Постановление о назначении предварительного слушания (ст. 227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Постановление о назначении судебного заседания (ст. ст. 227, 231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Постановление об отказе в удовлетворении ходатайства (глава 15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рекомендуемой литературы и правоприменительной практики по всем видам процессуальных документов.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Составление процессуальных актов.</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рекомендуемой литературы и правоприменительной практики по всем видам процессуальных документов.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рекомендуемой литературы и правоприменительной практики по всем видам процессуальных документов.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Составление процессуальных актов.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"Практикум по составлению процессуальных документов в уголовном судопроизводстве" используются следующие виды образовательных технологий:</w:t>
      </w:r>
    </w:p>
    <w:p>
      <w:pPr>
        <w:numPr>
          <w:ilvl w:val="0"/>
          <w:numId w:val="1"/>
        </w:numPr>
      </w:pPr>
      <w:r>
        <w:rPr/>
        <w:t xml:space="preserve">моделирование правовых отношений;</w:t>
      </w:r>
    </w:p>
    <w:p>
      <w:pPr>
        <w:numPr>
          <w:ilvl w:val="0"/>
          <w:numId w:val="1"/>
        </w:numPr>
      </w:pPr>
      <w:r>
        <w:rPr/>
        <w:t xml:space="preserve">решение практических задач;</w:t>
      </w:r>
    </w:p>
    <w:p>
      <w:pPr>
        <w:numPr>
          <w:ilvl w:val="0"/>
          <w:numId w:val="1"/>
        </w:numPr>
      </w:pPr>
      <w:r>
        <w:rPr/>
        <w:t xml:space="preserve">оформление правовой позиции в процессуальные документы.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Кейс-задачи по дисциплине "Практикум по составлению процессуальных документов в уголовном судопроизводстве" составляются на основе современной следственной практики, охватывающей темы занятий.</w:t>
      </w:r>
    </w:p>
    <w:p>
      <w:pPr/>
      <w:r>
        <w:rPr>
          <w:b w:val="1"/>
          <w:bCs w:val="1"/>
        </w:rPr>
        <w:t xml:space="preserve">Пример кейс-задачи:</w:t>
      </w:r>
    </w:p>
    <w:p>
      <w:pPr/>
      <w:r>
        <w:rPr/>
        <w:t xml:space="preserve">Вяземский, ранее судимый за бандитизм, решил совершить хищение, устроив подкоп в помещение магазина из неподалеку стоявшего старого пустого сарая. Накануне совершения преступления, когда подкоп в магазин был сделан, Вяземский познакомился в пивной с шофером Семкиным и договорился с ним, что он с вечера как бы случайно поставит свою машину вплотную около сарая, а к 4 часам утра подойдет, чтобы похищенное. Семкин согласился, надеясь получить большое вознаграждение. Около 12 часов ночи Вяземский проник в</w:t>
      </w:r>
    </w:p>
    <w:p>
      <w:pPr/>
      <w:r>
        <w:rPr/>
        <w:t xml:space="preserve">магазин и до 3 часов утра в автомашину, оставленную Семкиным, товаров на крупную сумму и, не дожидаясь Семкина, уехал. Отъехав за 40 км, он спрятал в лесу похищенное, а затем угнал машину в другую</w:t>
      </w:r>
    </w:p>
    <w:p>
      <w:pPr/>
      <w:r>
        <w:rPr/>
        <w:t xml:space="preserve">сторону и бросил ее.</w:t>
      </w:r>
    </w:p>
    <w:p>
      <w:pPr/>
      <w:r>
        <w:rPr>
          <w:b w:val="1"/>
          <w:bCs w:val="1"/>
        </w:rPr>
        <w:t xml:space="preserve">Задание:</w:t>
      </w:r>
    </w:p>
    <w:p>
      <w:pPr/>
      <w:r>
        <w:rPr/>
        <w:t xml:space="preserve"> Составьте все необходимые процессуальные документы по представленной фабуле. В случае необходимости Вы можете изменять фабулу дела, добавлять участников уголовного дела (например, соучастников, свидетелей), добавлять, изменять эпизоды совершения преступления, изменять фактические обстоятельства и т.п.</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2"/>
        </w:numPr>
      </w:pPr>
      <w:r>
        <w:rPr/>
        <w:t xml:space="preserve">Понятие и содержание процессуального документа.</w:t>
      </w:r>
    </w:p>
    <w:p>
      <w:pPr>
        <w:numPr>
          <w:ilvl w:val="0"/>
          <w:numId w:val="2"/>
        </w:numPr>
      </w:pPr>
      <w:r>
        <w:rPr/>
        <w:t xml:space="preserve">Форма процессуального документа. Структура процессуального документа. Язык изложения процессуального документа.</w:t>
      </w:r>
    </w:p>
    <w:p>
      <w:pPr>
        <w:numPr>
          <w:ilvl w:val="0"/>
          <w:numId w:val="2"/>
        </w:numPr>
      </w:pPr>
      <w:r>
        <w:rPr/>
        <w:t xml:space="preserve">Этика процессуального документа.</w:t>
      </w:r>
    </w:p>
    <w:p>
      <w:pPr>
        <w:numPr>
          <w:ilvl w:val="0"/>
          <w:numId w:val="2"/>
        </w:numPr>
      </w:pPr>
      <w:r>
        <w:rPr/>
        <w:t xml:space="preserve">Определение составителя и адресата процессуального документа. Систематизация материала и аргументов по соответствующим разделам. Прогнозирование и анализ возможных последствий при подготовке процессуального документа.</w:t>
      </w:r>
    </w:p>
    <w:p>
      <w:pPr>
        <w:numPr>
          <w:ilvl w:val="0"/>
          <w:numId w:val="2"/>
        </w:numPr>
      </w:pPr>
      <w:r>
        <w:rPr/>
        <w:t xml:space="preserve">Составление текста процессуального документа. Редактирование материалов процессуального документа.</w:t>
      </w:r>
    </w:p>
    <w:p>
      <w:pPr>
        <w:numPr>
          <w:ilvl w:val="0"/>
          <w:numId w:val="2"/>
        </w:numPr>
      </w:pPr>
      <w:r>
        <w:rPr/>
        <w:t xml:space="preserve">Система процессуальных документов.</w:t>
      </w:r>
    </w:p>
    <w:p>
      <w:pPr>
        <w:numPr>
          <w:ilvl w:val="0"/>
          <w:numId w:val="2"/>
        </w:numPr>
      </w:pPr>
      <w:r>
        <w:rPr/>
        <w:t xml:space="preserve">Оформление поводов к возбуждению уголовного дела в качестве процессуальных документов.</w:t>
      </w:r>
    </w:p>
    <w:p>
      <w:pPr>
        <w:numPr>
          <w:ilvl w:val="0"/>
          <w:numId w:val="2"/>
        </w:numPr>
      </w:pPr>
      <w:r>
        <w:rPr/>
        <w:t xml:space="preserve">Особенности составления постановления о возбуждении уголовного дела.</w:t>
      </w:r>
    </w:p>
    <w:p>
      <w:pPr>
        <w:numPr>
          <w:ilvl w:val="0"/>
          <w:numId w:val="2"/>
        </w:numPr>
      </w:pPr>
      <w:r>
        <w:rPr/>
        <w:t xml:space="preserve">Особенности составления постановления об отказе в возбуждении уголовного дела.</w:t>
      </w:r>
    </w:p>
    <w:p>
      <w:pPr>
        <w:numPr>
          <w:ilvl w:val="0"/>
          <w:numId w:val="2"/>
        </w:numPr>
      </w:pPr>
      <w:r>
        <w:rPr/>
        <w:t xml:space="preserve">Процессуальные документы, закрепляющие процессуальное положение участников уголовного дела.</w:t>
      </w:r>
    </w:p>
    <w:p>
      <w:pPr>
        <w:numPr>
          <w:ilvl w:val="0"/>
          <w:numId w:val="2"/>
        </w:numPr>
      </w:pPr>
      <w:r>
        <w:rPr/>
        <w:t xml:space="preserve">Особенности составления процессуальных документов при производстве следственных действий.</w:t>
      </w:r>
    </w:p>
    <w:p>
      <w:pPr>
        <w:numPr>
          <w:ilvl w:val="0"/>
          <w:numId w:val="2"/>
        </w:numPr>
      </w:pPr>
      <w:r>
        <w:rPr/>
        <w:t xml:space="preserve">Предъявление обвинения и его процессуальное отображение в процессуальных документах.</w:t>
      </w:r>
    </w:p>
    <w:p>
      <w:pPr>
        <w:numPr>
          <w:ilvl w:val="0"/>
          <w:numId w:val="2"/>
        </w:numPr>
      </w:pPr>
      <w:r>
        <w:rPr/>
        <w:t xml:space="preserve">Виды процессуальных документов по применению мер уголовно-процессуального принуждения.</w:t>
      </w:r>
    </w:p>
    <w:p>
      <w:pPr>
        <w:numPr>
          <w:ilvl w:val="0"/>
          <w:numId w:val="2"/>
        </w:numPr>
      </w:pPr>
      <w:r>
        <w:rPr/>
        <w:t xml:space="preserve">Составление заключительных документов по результатам предварительного следствия и дознания.</w:t>
      </w:r>
    </w:p>
    <w:p>
      <w:pPr>
        <w:numPr>
          <w:ilvl w:val="0"/>
          <w:numId w:val="2"/>
        </w:numPr>
      </w:pPr>
      <w:r>
        <w:rPr/>
        <w:t xml:space="preserve">Предъявление материалов уголовного дела для ознакомления участникам уголовного дела.</w:t>
      </w:r>
    </w:p>
    <w:p>
      <w:pPr>
        <w:numPr>
          <w:ilvl w:val="0"/>
          <w:numId w:val="2"/>
        </w:numPr>
      </w:pPr>
      <w:r>
        <w:rPr/>
        <w:t xml:space="preserve">Особенности составления постановления о назначении предварительного слушания.</w:t>
      </w:r>
    </w:p>
    <w:p>
      <w:pPr>
        <w:numPr>
          <w:ilvl w:val="0"/>
          <w:numId w:val="2"/>
        </w:numPr>
      </w:pPr>
      <w:r>
        <w:rPr/>
        <w:t xml:space="preserve">Постановление о назначении судебного заседания.</w:t>
      </w:r>
    </w:p>
    <w:p>
      <w:pPr>
        <w:numPr>
          <w:ilvl w:val="0"/>
          <w:numId w:val="2"/>
        </w:numPr>
      </w:pPr>
      <w:r>
        <w:rPr/>
        <w:t xml:space="preserve">Протокол судебного заседания и особенности его составления.</w:t>
      </w:r>
    </w:p>
    <w:p>
      <w:pPr>
        <w:numPr>
          <w:ilvl w:val="0"/>
          <w:numId w:val="2"/>
        </w:numPr>
      </w:pPr>
      <w:r>
        <w:rPr/>
        <w:t xml:space="preserve">Приговор и особенности его составления.</w:t>
      </w:r>
    </w:p>
    <w:p>
      <w:pPr>
        <w:numPr>
          <w:ilvl w:val="0"/>
          <w:numId w:val="2"/>
        </w:numPr>
      </w:pPr>
      <w:r>
        <w:rPr/>
        <w:t xml:space="preserve">Особенности апелляционного производства. Процессуальные документы в апелляционном производстве.</w:t>
      </w:r>
    </w:p>
    <w:p>
      <w:pPr>
        <w:numPr>
          <w:ilvl w:val="0"/>
          <w:numId w:val="2"/>
        </w:numPr>
      </w:pPr>
      <w:r>
        <w:rPr/>
        <w:t xml:space="preserve">Особенности кассационного производства. Процессуальные документы в кассационном производстве.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однако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"Практикум по составлению процессуальных документов" является  закрепление навыков работы с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"Практикум по составлению процессуальных документов" является составление процессуальных документов . Составление процессуальных документов позволяет обучающемуся изучать уголовно-процессуальное законодательство в тесной связи с практикой, приобретать навыки разрешения практических ситуаций в соответствии с современными требованиями закона.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"Практикум по составлению процессуальных документов в уголовном судопроизводстве" реализуется посредством проведения практических занятий.</w:t>
      </w:r>
    </w:p>
    <w:p>
      <w:pPr/>
      <w:r>
        <w:rPr/>
        <w:t xml:space="preserve">В ходе практических занятий преподаватель раскрывает практические основы изучаемой дисциплины. На практических занятиях также происходит р</w:t>
      </w:r>
      <w:r>
        <w:rPr/>
        <w:t xml:space="preserve">азбор выполненных кейс-задач, в том числе, с учетом материалов следственно-судебной практики, а также самостоятельно составленных обучающимися процессуальных документов.</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Уголовно-процессуальные акты : учебное пособие для вузов / Г. В. Стародубова [и др.] ; под редакцией Г. В. Стародубовой. — 3-е изд. — Москва : Издательство Юрайт, 2020. — 477 с. — (Высшее образование). — ISBN 978-5-534-12783-6. — Текст : электронный // Образовательная платформа Юрайт [сайт]. — URL: </w:t>
      </w:r>
      <w:hyperlink r:id="rId7" w:history="1">
        <w:r>
          <w:rPr/>
          <w:t xml:space="preserve">https://urait.ru/bcode/448309</w:t>
        </w:r>
      </w:hyperlink>
    </w:p>
    <w:p>
      <w:pPr>
        <w:jc w:val="both"/>
        <w:ind w:left="0" w:right="0" w:firstLine="570" w:hanging="0"/>
        <w:spacing w:before="240" w:after="240"/>
      </w:pPr>
      <w:r>
        <w:rPr>
          <w:b w:val="1"/>
          <w:bCs w:val="1"/>
        </w:rPr>
        <w:t xml:space="preserve">8.2. Дополнительная литература:</w:t>
      </w:r>
    </w:p>
    <w:p>
      <w:pPr>
        <w:numPr>
          <w:ilvl w:val="0"/>
          <w:numId w:val="4"/>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6-е изд., перераб. и доп. — Москва : Издательство Юрайт, 2020. — 403 с. — (Высшее образование). — ISBN 978-5-534-13800-9. — Текст : электронный // Образовательная платформа Юрайт [сайт]. — URL: </w:t>
      </w:r>
      <w:hyperlink r:id="rId8" w:history="1">
        <w:r>
          <w:rPr/>
          <w:t xml:space="preserve">https://urait.ru/bcode/466903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F2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38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1B7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ED3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9C2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8309" TargetMode="External"/><Relationship Id="rId8" Type="http://schemas.openxmlformats.org/officeDocument/2006/relationships/hyperlink" Target="https://urait.ru/bcode/466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2026-04-23T19:25:52+03:00</dcterms:created>
  <dcterms:modified xsi:type="dcterms:W3CDTF">2026-04-23T19:25:52+03:00</dcterms:modified>
</cp:coreProperties>
</file>

<file path=docProps/custom.xml><?xml version="1.0" encoding="utf-8"?>
<Properties xmlns="http://schemas.openxmlformats.org/officeDocument/2006/custom-properties" xmlns:vt="http://schemas.openxmlformats.org/officeDocument/2006/docPropsVTypes"/>
</file>