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 методы расчета при проектировании деталей и узлов изделий машиностроения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Металлорежущие станки и инструменты (О), Метрология, стандартизация и сертификация (О), Сварка полимерных материалов (О), Производственная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Имеет представление о стандартных методах расчета при проектировании изделий машиностроения;</w:t>
            </w:r>
          </w:p>
          <w:p/>
          <w:p>
            <w:pPr/>
            <w:r>
              <w:rPr/>
              <w:t xml:space="preserve">ОПК-13.2. Умеет проводить расчеты при проектировании деталей и узлов изделий машиностроения с использованием стандартных методов;</w:t>
            </w:r>
          </w:p>
          <w:p/>
          <w:p>
            <w:pPr/>
            <w:r>
              <w:rPr/>
              <w:t xml:space="preserve">ОПК-13.3. Анализирует результаты расчетов при проектировании деталей и узлов изделий машиностроения.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подтверждающие соответствие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1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1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1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1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1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1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1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1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1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1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1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1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1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1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1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1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1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1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1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1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1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1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1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1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 часов) и самостоятельную работу студента (102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2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2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2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2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F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77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1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B6B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BCAA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02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B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F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00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9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2026-04-22T14:54:51+03:00</dcterms:created>
  <dcterms:modified xsi:type="dcterms:W3CDTF">2026-04-22T14:54:51+03:00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