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Технология объемной и листовой штамповки (О), Металлорежущие станки и инструменты (О), Системы ЧПУ промышленного оборудования (О), Метрология, стандартизация и сертификация (О), Автоматика и автоматизация производственных процессов (О), Грузоподъемные машины (О),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(О), Подготовка к процедуре защиты и защита ВКР (И), Машинная графика (О), Нормирование точности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Управление техническими системами (О), Автоматика и автоматизация производственных процессов (О), Математика (НО), Теоретическая механика (О), Гидравлика (О), Теория принятия оптимальных решений (О), Сварка полимерных материалов (О), Инженерная графика (НО), Детали машин и основы конструирования (О), Информатика (Н), Введение в профессиональную деятельность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ОПК-11 наряду с дисциплинами: Технологии и оборудование литейного производства (О), Диагностика технического состояния оборудования (О), Автоматика и автоматизация производственных процессов (О), Производственная практика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основы технических измерений, методы контроля качества продукции в сфере профессиональной деятельности, принципы нормирования точности и обеспечения взаимозаменяемости деталей и сборочных единиц в машиностроении;</w:t>
            </w:r>
          </w:p>
          <w:p/>
          <w:p>
            <w:pPr/>
            <w:r>
              <w:rPr/>
              <w:t xml:space="preserve">ОПК-11.2. Умеет проводить анализ причин нарушений технологических процессов в машиностроении и разрабатывать мероприятия по их предупреждению;</w:t>
            </w:r>
          </w:p>
          <w:p/>
          <w:p>
            <w:pPr/>
            <w:r>
              <w:rPr/>
              <w:t xml:space="preserve">ОПК-11.3. Владеет навыками разработки мероприятий по предупреждению причин нарушений технологических процессов в машиностроении.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и принципы формирования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комплекса АСУТП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Датчики дефектоскопии. Датчики давления и температуры.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1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1"/>
        </w:numPr>
      </w:pPr>
      <w:r>
        <w:rPr/>
        <w:t xml:space="preserve">Структура комплекса АСУТП.</w:t>
      </w:r>
    </w:p>
    <w:p>
      <w:pPr>
        <w:numPr>
          <w:ilvl w:val="0"/>
          <w:numId w:val="1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1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1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1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1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1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2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2"/>
        </w:numPr>
      </w:pPr>
      <w:r>
        <w:rPr/>
        <w:t xml:space="preserve">Состав АСУТП.</w:t>
      </w:r>
    </w:p>
    <w:p>
      <w:pPr>
        <w:numPr>
          <w:ilvl w:val="0"/>
          <w:numId w:val="2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2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2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2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2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2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2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2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2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2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2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2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2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2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2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2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2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2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2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2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2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2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(12 часов) и самостоятельную работу обучающегося (96 часа).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 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Содержание практических занятий включает изучение ряда теоретических вопросов, не вошедших в лекции, решение задач по пройденному материалу. </w:t>
      </w:r>
    </w:p>
    <w:p>
      <w:pPr/>
      <w:r>
        <w:rPr/>
        <w:t xml:space="preserve">Самостоятельная работа состоит в подготовке конспектов на темы, выделенные на самостоятельное изучение. 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3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3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4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4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9"/>
        </w:numPr>
      </w:pPr>
      <w:r>
        <w:rPr/>
        <w:t xml:space="preserve">лаборатория №2, пр. А.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87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F9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E96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FCC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FB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4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1B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7FB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254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2026-04-22T14:54:08+03:00</dcterms:created>
  <dcterms:modified xsi:type="dcterms:W3CDTF">2026-04-22T14:54:08+03:00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